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875DB" w14:textId="77777777" w:rsidR="00435F92" w:rsidRPr="00257907" w:rsidRDefault="00435F92" w:rsidP="00257907">
      <w:pPr>
        <w:widowControl w:val="0"/>
        <w:spacing w:after="0" w:line="240" w:lineRule="auto"/>
        <w:jc w:val="both"/>
        <w:rPr>
          <w:rFonts w:ascii="Times New Roman" w:eastAsia="Times New Roman" w:hAnsi="Times New Roman"/>
          <w:sz w:val="24"/>
          <w:szCs w:val="24"/>
          <w:lang w:val="es-ES" w:eastAsia="es-ES"/>
        </w:rPr>
      </w:pPr>
      <w:bookmarkStart w:id="0" w:name="_GoBack"/>
      <w:bookmarkEnd w:id="0"/>
    </w:p>
    <w:p w14:paraId="5564D0AA" w14:textId="0F2971D1" w:rsidR="00A26F4E" w:rsidRPr="00257907" w:rsidRDefault="00F12F31" w:rsidP="00257907">
      <w:pPr>
        <w:widowControl w:val="0"/>
        <w:spacing w:after="0" w:line="240" w:lineRule="auto"/>
        <w:jc w:val="both"/>
        <w:rPr>
          <w:rFonts w:ascii="Times New Roman" w:eastAsia="Times New Roman" w:hAnsi="Times New Roman"/>
          <w:sz w:val="24"/>
          <w:szCs w:val="24"/>
          <w:lang w:val="es-ES" w:eastAsia="es-ES"/>
        </w:rPr>
      </w:pPr>
      <w:r w:rsidRPr="00257907">
        <w:rPr>
          <w:rFonts w:ascii="Times New Roman" w:eastAsia="Times New Roman" w:hAnsi="Times New Roman"/>
          <w:sz w:val="24"/>
          <w:szCs w:val="24"/>
          <w:lang w:eastAsia="es-ES"/>
        </w:rPr>
        <w:t>La Junta Directiva del Banco Central de Costa Rica</w:t>
      </w:r>
      <w:r w:rsidR="008203F8" w:rsidRPr="00257907">
        <w:rPr>
          <w:rFonts w:ascii="Times New Roman" w:eastAsia="Times New Roman" w:hAnsi="Times New Roman"/>
          <w:sz w:val="24"/>
          <w:szCs w:val="24"/>
          <w:lang w:eastAsia="es-ES"/>
        </w:rPr>
        <w:t>,</w:t>
      </w:r>
      <w:r w:rsidRPr="00257907">
        <w:rPr>
          <w:rFonts w:ascii="Times New Roman" w:eastAsia="Times New Roman" w:hAnsi="Times New Roman"/>
          <w:sz w:val="24"/>
          <w:szCs w:val="24"/>
          <w:lang w:eastAsia="es-ES"/>
        </w:rPr>
        <w:t xml:space="preserve"> en el artículo </w:t>
      </w:r>
      <w:r w:rsidR="00257907" w:rsidRPr="00257907">
        <w:rPr>
          <w:rFonts w:ascii="Times New Roman" w:eastAsia="Times New Roman" w:hAnsi="Times New Roman"/>
          <w:sz w:val="24"/>
          <w:szCs w:val="24"/>
          <w:lang w:eastAsia="es-ES"/>
        </w:rPr>
        <w:t>8</w:t>
      </w:r>
      <w:r w:rsidR="00A26F4E" w:rsidRPr="00257907">
        <w:rPr>
          <w:rFonts w:ascii="Times New Roman" w:eastAsia="Times New Roman" w:hAnsi="Times New Roman"/>
          <w:sz w:val="24"/>
          <w:szCs w:val="24"/>
          <w:lang w:eastAsia="es-ES"/>
        </w:rPr>
        <w:t>,</w:t>
      </w:r>
      <w:r w:rsidRPr="00257907">
        <w:rPr>
          <w:rFonts w:ascii="Times New Roman" w:eastAsia="Times New Roman" w:hAnsi="Times New Roman"/>
          <w:sz w:val="24"/>
          <w:szCs w:val="24"/>
          <w:lang w:eastAsia="es-ES"/>
        </w:rPr>
        <w:t xml:space="preserve"> del acta de la sesión </w:t>
      </w:r>
      <w:r w:rsidR="00722B20" w:rsidRPr="00257907">
        <w:rPr>
          <w:rFonts w:ascii="Times New Roman" w:eastAsia="Times New Roman" w:hAnsi="Times New Roman"/>
          <w:sz w:val="24"/>
          <w:szCs w:val="24"/>
          <w:lang w:eastAsia="es-ES"/>
        </w:rPr>
        <w:t>59</w:t>
      </w:r>
      <w:r w:rsidR="00671A47" w:rsidRPr="00257907">
        <w:rPr>
          <w:rFonts w:ascii="Times New Roman" w:eastAsia="Times New Roman" w:hAnsi="Times New Roman"/>
          <w:sz w:val="24"/>
          <w:szCs w:val="24"/>
          <w:lang w:eastAsia="es-ES"/>
        </w:rPr>
        <w:t>63</w:t>
      </w:r>
      <w:r w:rsidRPr="00257907">
        <w:rPr>
          <w:rFonts w:ascii="Times New Roman" w:eastAsia="Times New Roman" w:hAnsi="Times New Roman"/>
          <w:sz w:val="24"/>
          <w:szCs w:val="24"/>
          <w:lang w:eastAsia="es-ES"/>
        </w:rPr>
        <w:t>-</w:t>
      </w:r>
      <w:r w:rsidR="00827358" w:rsidRPr="00257907">
        <w:rPr>
          <w:rFonts w:ascii="Times New Roman" w:eastAsia="Times New Roman" w:hAnsi="Times New Roman"/>
          <w:sz w:val="24"/>
          <w:szCs w:val="24"/>
          <w:lang w:eastAsia="es-ES"/>
        </w:rPr>
        <w:t>2020</w:t>
      </w:r>
      <w:r w:rsidRPr="00257907">
        <w:rPr>
          <w:rFonts w:ascii="Times New Roman" w:eastAsia="Times New Roman" w:hAnsi="Times New Roman"/>
          <w:sz w:val="24"/>
          <w:szCs w:val="24"/>
          <w:lang w:eastAsia="es-ES"/>
        </w:rPr>
        <w:t xml:space="preserve">, celebrada el </w:t>
      </w:r>
      <w:r w:rsidR="00671A47" w:rsidRPr="00257907">
        <w:rPr>
          <w:rFonts w:ascii="Times New Roman" w:eastAsia="Times New Roman" w:hAnsi="Times New Roman"/>
          <w:sz w:val="24"/>
          <w:szCs w:val="24"/>
          <w:lang w:eastAsia="es-ES"/>
        </w:rPr>
        <w:t>14</w:t>
      </w:r>
      <w:r w:rsidR="00A26F4E" w:rsidRPr="00257907">
        <w:rPr>
          <w:rFonts w:ascii="Times New Roman" w:eastAsia="Times New Roman" w:hAnsi="Times New Roman"/>
          <w:sz w:val="24"/>
          <w:szCs w:val="24"/>
          <w:lang w:val="es-ES" w:eastAsia="es-ES"/>
        </w:rPr>
        <w:t xml:space="preserve"> de </w:t>
      </w:r>
      <w:r w:rsidR="00671A47" w:rsidRPr="00257907">
        <w:rPr>
          <w:rFonts w:ascii="Times New Roman" w:eastAsia="Times New Roman" w:hAnsi="Times New Roman"/>
          <w:sz w:val="24"/>
          <w:szCs w:val="24"/>
          <w:lang w:val="es-ES" w:eastAsia="es-ES"/>
        </w:rPr>
        <w:t xml:space="preserve">octubre </w:t>
      </w:r>
      <w:r w:rsidR="00827358" w:rsidRPr="00257907">
        <w:rPr>
          <w:rFonts w:ascii="Times New Roman" w:eastAsia="Times New Roman" w:hAnsi="Times New Roman"/>
          <w:sz w:val="24"/>
          <w:szCs w:val="24"/>
          <w:lang w:val="es-ES" w:eastAsia="es-ES"/>
        </w:rPr>
        <w:t>de 2020</w:t>
      </w:r>
      <w:r w:rsidR="008203F8" w:rsidRPr="00257907">
        <w:rPr>
          <w:rFonts w:ascii="Times New Roman" w:eastAsia="Times New Roman" w:hAnsi="Times New Roman"/>
          <w:sz w:val="24"/>
          <w:szCs w:val="24"/>
          <w:lang w:val="es-ES" w:eastAsia="es-ES"/>
        </w:rPr>
        <w:t>,</w:t>
      </w:r>
    </w:p>
    <w:p w14:paraId="17A5EA1E" w14:textId="4A8493E2" w:rsidR="00F12F31" w:rsidRPr="00257907" w:rsidRDefault="00F12F31" w:rsidP="00257907">
      <w:pPr>
        <w:widowControl w:val="0"/>
        <w:spacing w:after="0" w:line="240" w:lineRule="auto"/>
        <w:jc w:val="both"/>
        <w:rPr>
          <w:rFonts w:ascii="Times New Roman" w:eastAsia="Times New Roman" w:hAnsi="Times New Roman"/>
          <w:szCs w:val="24"/>
          <w:lang w:eastAsia="es-ES"/>
        </w:rPr>
      </w:pPr>
    </w:p>
    <w:p w14:paraId="33B38A9D" w14:textId="77777777" w:rsidR="00257907" w:rsidRPr="00257907" w:rsidRDefault="00257907" w:rsidP="00257907">
      <w:pPr>
        <w:autoSpaceDE w:val="0"/>
        <w:autoSpaceDN w:val="0"/>
        <w:adjustRightInd w:val="0"/>
        <w:spacing w:after="0" w:line="240" w:lineRule="auto"/>
        <w:jc w:val="both"/>
        <w:rPr>
          <w:rFonts w:ascii="Times New Roman" w:hAnsi="Times New Roman"/>
          <w:b/>
          <w:bCs/>
          <w:color w:val="000000"/>
          <w:sz w:val="24"/>
          <w:szCs w:val="24"/>
        </w:rPr>
      </w:pPr>
      <w:r w:rsidRPr="00257907">
        <w:rPr>
          <w:rFonts w:ascii="Times New Roman" w:hAnsi="Times New Roman"/>
          <w:b/>
          <w:bCs/>
          <w:color w:val="000000"/>
          <w:sz w:val="24"/>
          <w:szCs w:val="24"/>
        </w:rPr>
        <w:t>considerando que:</w:t>
      </w:r>
    </w:p>
    <w:p w14:paraId="09D9832D" w14:textId="77777777" w:rsidR="00257907" w:rsidRPr="00257907" w:rsidRDefault="00257907" w:rsidP="00257907">
      <w:pPr>
        <w:autoSpaceDE w:val="0"/>
        <w:autoSpaceDN w:val="0"/>
        <w:adjustRightInd w:val="0"/>
        <w:spacing w:after="0" w:line="240" w:lineRule="auto"/>
        <w:jc w:val="both"/>
        <w:rPr>
          <w:rFonts w:ascii="Times New Roman" w:hAnsi="Times New Roman"/>
          <w:b/>
          <w:bCs/>
          <w:color w:val="000000"/>
          <w:szCs w:val="24"/>
        </w:rPr>
      </w:pPr>
    </w:p>
    <w:p w14:paraId="788A1C87"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A.</w:t>
      </w:r>
      <w:r w:rsidRPr="00257907">
        <w:rPr>
          <w:rFonts w:ascii="Times New Roman" w:hAnsi="Times New Roman" w:cs="Times New Roman"/>
          <w:sz w:val="24"/>
          <w:szCs w:val="24"/>
        </w:rPr>
        <w:tab/>
        <w:t>El informe de Auditoría Interna del Banco Central Costa Rica AI-0087-2017, le recomienda a la División Económica  “</w:t>
      </w:r>
      <w:r w:rsidRPr="00257907">
        <w:rPr>
          <w:rFonts w:ascii="Times New Roman" w:hAnsi="Times New Roman" w:cs="Times New Roman"/>
          <w:i/>
          <w:sz w:val="24"/>
          <w:szCs w:val="24"/>
        </w:rPr>
        <w:t>Coordinar con la División Gestión de Activos y Pasivos el traslado al Departamento Estadística Macroeconómica de la ejecución de las actividades relacionadas con el cálculo y publicación de la curva de rendimiento soberana (conforme las funciones asignadas al Área Estadísticas Monetarias y Financieras en la Estructura de Organización y Funciones del Banco Central), y gestionar la reubicación de los procedimientos operativos correspondientes en el Sitio de Calidad, como parte del Proceso Producción y Divulgación de Estadísticas Macroeconómicas</w:t>
      </w:r>
      <w:r w:rsidRPr="00257907">
        <w:rPr>
          <w:rFonts w:ascii="Times New Roman" w:hAnsi="Times New Roman" w:cs="Times New Roman"/>
          <w:sz w:val="24"/>
          <w:szCs w:val="24"/>
        </w:rPr>
        <w:t>”.</w:t>
      </w:r>
    </w:p>
    <w:p w14:paraId="6575564F" w14:textId="77777777" w:rsidR="00257907" w:rsidRPr="00257907" w:rsidRDefault="00257907" w:rsidP="00257907">
      <w:pPr>
        <w:autoSpaceDE w:val="0"/>
        <w:autoSpaceDN w:val="0"/>
        <w:adjustRightInd w:val="0"/>
        <w:spacing w:after="0" w:line="240" w:lineRule="auto"/>
        <w:ind w:left="426" w:right="-234" w:hanging="426"/>
        <w:jc w:val="both"/>
        <w:rPr>
          <w:rFonts w:ascii="Times New Roman" w:hAnsi="Times New Roman"/>
          <w:color w:val="000000"/>
          <w:sz w:val="24"/>
          <w:szCs w:val="24"/>
        </w:rPr>
      </w:pPr>
    </w:p>
    <w:p w14:paraId="617D0ADC"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B.</w:t>
      </w:r>
      <w:r w:rsidRPr="00257907">
        <w:rPr>
          <w:rFonts w:ascii="Times New Roman" w:hAnsi="Times New Roman" w:cs="Times New Roman"/>
          <w:sz w:val="24"/>
          <w:szCs w:val="24"/>
        </w:rPr>
        <w:tab/>
        <w:t xml:space="preserve">Mediante artículo 8 de la sesión de Junta Directiva del Banco Central de Costa Rica, 5701-2015 del 23 de setiembre de 2015, este directorio conoció y facultó a la Administración a proceder de acuerdo con la propuesta metodológica de la División Gestión de Activos y </w:t>
      </w:r>
      <w:proofErr w:type="gramStart"/>
      <w:r w:rsidRPr="00257907">
        <w:rPr>
          <w:rFonts w:ascii="Times New Roman" w:hAnsi="Times New Roman" w:cs="Times New Roman"/>
          <w:sz w:val="24"/>
          <w:szCs w:val="24"/>
        </w:rPr>
        <w:t>Pasivos  sobre</w:t>
      </w:r>
      <w:proofErr w:type="gramEnd"/>
      <w:r w:rsidRPr="00257907">
        <w:rPr>
          <w:rFonts w:ascii="Times New Roman" w:hAnsi="Times New Roman" w:cs="Times New Roman"/>
          <w:sz w:val="24"/>
          <w:szCs w:val="24"/>
        </w:rPr>
        <w:t xml:space="preserve"> el cálculo de la curva de rendimientos soberana en colones, documentada en el oficio DAP-158-2015-R1 del 3 de setiembre de 2015.</w:t>
      </w:r>
    </w:p>
    <w:p w14:paraId="151684EC"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p>
    <w:p w14:paraId="1BF613E6"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C.</w:t>
      </w:r>
      <w:r w:rsidRPr="00257907">
        <w:rPr>
          <w:rFonts w:ascii="Times New Roman" w:hAnsi="Times New Roman" w:cs="Times New Roman"/>
          <w:sz w:val="24"/>
          <w:szCs w:val="24"/>
        </w:rPr>
        <w:tab/>
        <w:t>Dicha metodología consta de dos grandes procesos. En el primero se realiza la selección de los datos (elegir pares de plazo al vencimiento y rendimiento negociados) que representen adecuadamente el mercado y riesgo al cual la curva hace referencia. En el segundo, se busca un procedimiento de cálculo que permita generar una referencia para los demás plazos de la curva a partir de datos observados.</w:t>
      </w:r>
    </w:p>
    <w:p w14:paraId="4A6620F1" w14:textId="77777777" w:rsidR="00257907" w:rsidRPr="00257907" w:rsidRDefault="00257907" w:rsidP="00257907">
      <w:pPr>
        <w:pStyle w:val="Prrafodelista"/>
        <w:ind w:left="426" w:right="-234" w:hanging="426"/>
        <w:jc w:val="both"/>
        <w:rPr>
          <w:rFonts w:ascii="Times New Roman" w:hAnsi="Times New Roman" w:cs="Times New Roman"/>
          <w:sz w:val="24"/>
          <w:szCs w:val="24"/>
        </w:rPr>
      </w:pPr>
    </w:p>
    <w:p w14:paraId="4B0A94D8"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D.</w:t>
      </w:r>
      <w:r w:rsidRPr="00257907">
        <w:rPr>
          <w:rFonts w:ascii="Times New Roman" w:hAnsi="Times New Roman" w:cs="Times New Roman"/>
          <w:sz w:val="24"/>
          <w:szCs w:val="24"/>
        </w:rPr>
        <w:tab/>
        <w:t>Con base en la información sobre las negociaciones en los mercados primario y secundario de bonos emitidos por el Ministerio de Hacienda y el Banco Central, se procede a una selección de observaciones según los siguientes criterios:</w:t>
      </w:r>
    </w:p>
    <w:p w14:paraId="2F73B98E" w14:textId="77777777" w:rsidR="00257907" w:rsidRDefault="00257907" w:rsidP="00257907">
      <w:pPr>
        <w:autoSpaceDE w:val="0"/>
        <w:autoSpaceDN w:val="0"/>
        <w:adjustRightInd w:val="0"/>
        <w:spacing w:after="0" w:line="240" w:lineRule="auto"/>
        <w:jc w:val="both"/>
        <w:rPr>
          <w:rFonts w:ascii="Times New Roman" w:hAnsi="Times New Roman"/>
          <w:sz w:val="24"/>
          <w:szCs w:val="24"/>
        </w:rPr>
      </w:pPr>
    </w:p>
    <w:p w14:paraId="20BDF718" w14:textId="77777777" w:rsidR="00435F92" w:rsidRPr="00257907" w:rsidRDefault="00435F92" w:rsidP="00257907">
      <w:pPr>
        <w:autoSpaceDE w:val="0"/>
        <w:autoSpaceDN w:val="0"/>
        <w:adjustRightInd w:val="0"/>
        <w:spacing w:after="0" w:line="240" w:lineRule="auto"/>
        <w:jc w:val="both"/>
        <w:rPr>
          <w:rFonts w:ascii="Times New Roman" w:hAnsi="Times New Roman"/>
          <w:sz w:val="24"/>
          <w:szCs w:val="24"/>
        </w:rPr>
      </w:pPr>
    </w:p>
    <w:tbl>
      <w:tblPr>
        <w:tblStyle w:val="Tablaconcuadrcula1clara"/>
        <w:tblW w:w="8933" w:type="dxa"/>
        <w:jc w:val="center"/>
        <w:tblLook w:val="04A0" w:firstRow="1" w:lastRow="0" w:firstColumn="1" w:lastColumn="0" w:noHBand="0" w:noVBand="1"/>
      </w:tblPr>
      <w:tblGrid>
        <w:gridCol w:w="2554"/>
        <w:gridCol w:w="6379"/>
      </w:tblGrid>
      <w:tr w:rsidR="00257907" w:rsidRPr="00257907" w14:paraId="440968AA" w14:textId="77777777" w:rsidTr="00E2463C">
        <w:trPr>
          <w:cnfStyle w:val="100000000000" w:firstRow="1" w:lastRow="0" w:firstColumn="0" w:lastColumn="0" w:oddVBand="0" w:evenVBand="0" w:oddHBand="0" w:evenHBand="0" w:firstRowFirstColumn="0" w:firstRowLastColumn="0" w:lastRowFirstColumn="0" w:lastRowLastColumn="0"/>
          <w:trHeight w:hRule="exact" w:val="578"/>
          <w:jc w:val="center"/>
        </w:trPr>
        <w:tc>
          <w:tcPr>
            <w:cnfStyle w:val="001000000000" w:firstRow="0" w:lastRow="0" w:firstColumn="1" w:lastColumn="0" w:oddVBand="0" w:evenVBand="0" w:oddHBand="0" w:evenHBand="0" w:firstRowFirstColumn="0" w:firstRowLastColumn="0" w:lastRowFirstColumn="0" w:lastRowLastColumn="0"/>
            <w:tcW w:w="8933" w:type="dxa"/>
            <w:gridSpan w:val="2"/>
            <w:shd w:val="clear" w:color="auto" w:fill="1F4E79" w:themeFill="accent1" w:themeFillShade="80"/>
          </w:tcPr>
          <w:p w14:paraId="552C2E1B" w14:textId="77777777" w:rsidR="00257907" w:rsidRPr="00E2463C" w:rsidRDefault="00257907" w:rsidP="00257907">
            <w:pPr>
              <w:pStyle w:val="Prrafodelista"/>
              <w:ind w:left="0"/>
              <w:jc w:val="center"/>
              <w:rPr>
                <w:rFonts w:ascii="Times New Roman" w:hAnsi="Times New Roman" w:cs="Times New Roman"/>
                <w:b w:val="0"/>
                <w:bCs w:val="0"/>
                <w:color w:val="FFFFFF" w:themeColor="background1"/>
                <w:szCs w:val="24"/>
              </w:rPr>
            </w:pPr>
            <w:r w:rsidRPr="00E2463C">
              <w:rPr>
                <w:rFonts w:ascii="Times New Roman" w:hAnsi="Times New Roman" w:cs="Times New Roman"/>
                <w:color w:val="FFFFFF" w:themeColor="background1"/>
                <w:szCs w:val="24"/>
              </w:rPr>
              <w:t>Aspectos metodológicos del cálculo de la curva de rendimientos soberana en colones</w:t>
            </w:r>
          </w:p>
          <w:p w14:paraId="1AF1A9BD" w14:textId="77777777" w:rsidR="00257907" w:rsidRPr="00E2463C" w:rsidRDefault="00257907" w:rsidP="00257907">
            <w:pPr>
              <w:pStyle w:val="Prrafodelista"/>
              <w:ind w:left="0"/>
              <w:jc w:val="center"/>
              <w:rPr>
                <w:rFonts w:ascii="Times New Roman" w:eastAsia="Times New Roman" w:hAnsi="Times New Roman" w:cs="Times New Roman"/>
                <w:b w:val="0"/>
                <w:bCs w:val="0"/>
                <w:color w:val="FFFFFF" w:themeColor="background1"/>
                <w:szCs w:val="24"/>
              </w:rPr>
            </w:pPr>
            <w:r w:rsidRPr="00E2463C">
              <w:rPr>
                <w:rFonts w:ascii="Times New Roman" w:hAnsi="Times New Roman" w:cs="Times New Roman"/>
                <w:color w:val="FFFFFF" w:themeColor="background1"/>
                <w:szCs w:val="24"/>
              </w:rPr>
              <w:t>(DAP-158-2015-R1)</w:t>
            </w:r>
          </w:p>
        </w:tc>
      </w:tr>
      <w:tr w:rsidR="00257907" w:rsidRPr="00257907" w14:paraId="0B125499" w14:textId="77777777" w:rsidTr="00E2463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shd w:val="clear" w:color="auto" w:fill="1F4E79" w:themeFill="accent1" w:themeFillShade="80"/>
            <w:vAlign w:val="center"/>
            <w:hideMark/>
          </w:tcPr>
          <w:p w14:paraId="380113A8" w14:textId="77777777" w:rsidR="00257907" w:rsidRPr="00E2463C" w:rsidRDefault="00257907" w:rsidP="00257907">
            <w:pPr>
              <w:spacing w:after="0" w:line="240" w:lineRule="auto"/>
              <w:jc w:val="both"/>
              <w:rPr>
                <w:rFonts w:ascii="Times New Roman" w:hAnsi="Times New Roman" w:cs="Times New Roman"/>
                <w:b w:val="0"/>
                <w:bCs w:val="0"/>
                <w:color w:val="FFFFFF" w:themeColor="background1"/>
                <w:szCs w:val="24"/>
                <w:lang w:val="en-US"/>
              </w:rPr>
            </w:pPr>
            <w:proofErr w:type="spellStart"/>
            <w:r w:rsidRPr="00E2463C">
              <w:rPr>
                <w:rFonts w:ascii="Times New Roman" w:hAnsi="Times New Roman" w:cs="Times New Roman"/>
                <w:color w:val="FFFFFF" w:themeColor="background1"/>
                <w:szCs w:val="24"/>
                <w:lang w:val="en-US"/>
              </w:rPr>
              <w:t>Criterio</w:t>
            </w:r>
            <w:proofErr w:type="spellEnd"/>
            <w:r w:rsidRPr="00E2463C">
              <w:rPr>
                <w:rFonts w:ascii="Times New Roman" w:hAnsi="Times New Roman" w:cs="Times New Roman"/>
                <w:color w:val="FFFFFF" w:themeColor="background1"/>
                <w:szCs w:val="24"/>
                <w:lang w:val="en-US"/>
              </w:rPr>
              <w:t xml:space="preserve"> </w:t>
            </w:r>
            <w:proofErr w:type="spellStart"/>
            <w:r w:rsidRPr="00E2463C">
              <w:rPr>
                <w:rFonts w:ascii="Times New Roman" w:hAnsi="Times New Roman" w:cs="Times New Roman"/>
                <w:color w:val="FFFFFF" w:themeColor="background1"/>
                <w:szCs w:val="24"/>
                <w:lang w:val="en-US"/>
              </w:rPr>
              <w:t>sobre</w:t>
            </w:r>
            <w:proofErr w:type="spellEnd"/>
          </w:p>
        </w:tc>
        <w:tc>
          <w:tcPr>
            <w:tcW w:w="6379" w:type="dxa"/>
            <w:shd w:val="clear" w:color="auto" w:fill="1F4E79" w:themeFill="accent1" w:themeFillShade="80"/>
            <w:vAlign w:val="center"/>
            <w:hideMark/>
          </w:tcPr>
          <w:p w14:paraId="1C5BDBF7" w14:textId="77777777" w:rsidR="00257907" w:rsidRPr="00E2463C"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Cs w:val="24"/>
                <w:lang w:val="en-US"/>
              </w:rPr>
            </w:pPr>
            <w:proofErr w:type="spellStart"/>
            <w:r w:rsidRPr="00E2463C">
              <w:rPr>
                <w:rFonts w:ascii="Times New Roman" w:hAnsi="Times New Roman" w:cs="Times New Roman"/>
                <w:b/>
                <w:bCs/>
                <w:color w:val="FFFFFF" w:themeColor="background1"/>
                <w:szCs w:val="24"/>
                <w:lang w:val="en-US"/>
              </w:rPr>
              <w:t>Decisión</w:t>
            </w:r>
            <w:proofErr w:type="spellEnd"/>
          </w:p>
        </w:tc>
      </w:tr>
      <w:tr w:rsidR="00257907" w:rsidRPr="00257907" w14:paraId="274D2991"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59441818"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Modelo</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paramétrico</w:t>
            </w:r>
            <w:proofErr w:type="spellEnd"/>
          </w:p>
        </w:tc>
        <w:tc>
          <w:tcPr>
            <w:tcW w:w="6379" w:type="dxa"/>
            <w:vAlign w:val="center"/>
            <w:hideMark/>
          </w:tcPr>
          <w:p w14:paraId="245D387F"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257907">
              <w:rPr>
                <w:rFonts w:ascii="Times New Roman" w:hAnsi="Times New Roman" w:cs="Times New Roman"/>
                <w:szCs w:val="24"/>
                <w:lang w:val="en-US"/>
              </w:rPr>
              <w:t>Svensson</w:t>
            </w:r>
            <w:proofErr w:type="spellEnd"/>
          </w:p>
        </w:tc>
      </w:tr>
      <w:tr w:rsidR="00257907" w:rsidRPr="00257907" w14:paraId="1EC01114"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564079D0"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 xml:space="preserve">Mercado </w:t>
            </w:r>
          </w:p>
        </w:tc>
        <w:tc>
          <w:tcPr>
            <w:tcW w:w="6379" w:type="dxa"/>
            <w:vAlign w:val="center"/>
            <w:hideMark/>
          </w:tcPr>
          <w:p w14:paraId="028E0E1D"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257907">
              <w:rPr>
                <w:rFonts w:ascii="Times New Roman" w:hAnsi="Times New Roman" w:cs="Times New Roman"/>
                <w:szCs w:val="24"/>
                <w:lang w:val="en-US"/>
              </w:rPr>
              <w:t>Primario</w:t>
            </w:r>
            <w:proofErr w:type="spellEnd"/>
            <w:r w:rsidRPr="00257907">
              <w:rPr>
                <w:rFonts w:ascii="Times New Roman" w:hAnsi="Times New Roman" w:cs="Times New Roman"/>
                <w:szCs w:val="24"/>
                <w:lang w:val="en-US"/>
              </w:rPr>
              <w:t xml:space="preserve"> y </w:t>
            </w:r>
            <w:proofErr w:type="spellStart"/>
            <w:r w:rsidRPr="00257907">
              <w:rPr>
                <w:rFonts w:ascii="Times New Roman" w:hAnsi="Times New Roman" w:cs="Times New Roman"/>
                <w:szCs w:val="24"/>
                <w:lang w:val="en-US"/>
              </w:rPr>
              <w:t>secundario</w:t>
            </w:r>
            <w:proofErr w:type="spellEnd"/>
          </w:p>
        </w:tc>
      </w:tr>
      <w:tr w:rsidR="00257907" w:rsidRPr="00257907" w14:paraId="510CE821"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495BFBFE"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Emisores</w:t>
            </w:r>
          </w:p>
        </w:tc>
        <w:tc>
          <w:tcPr>
            <w:tcW w:w="6379" w:type="dxa"/>
            <w:vAlign w:val="center"/>
            <w:hideMark/>
          </w:tcPr>
          <w:p w14:paraId="68DF13F1"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BCCR y Ministerio de Hacienda (MH)</w:t>
            </w:r>
          </w:p>
        </w:tc>
      </w:tr>
      <w:tr w:rsidR="00257907" w:rsidRPr="00257907" w14:paraId="22586DFD"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7732232F"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Instrumentos</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incluidos</w:t>
            </w:r>
            <w:proofErr w:type="spellEnd"/>
          </w:p>
        </w:tc>
        <w:tc>
          <w:tcPr>
            <w:tcW w:w="6379" w:type="dxa"/>
            <w:vAlign w:val="center"/>
            <w:hideMark/>
          </w:tcPr>
          <w:p w14:paraId="597CC32D"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 xml:space="preserve">Estandarizados: tasa fija y </w:t>
            </w:r>
            <w:proofErr w:type="gramStart"/>
            <w:r w:rsidRPr="00257907">
              <w:rPr>
                <w:rFonts w:ascii="Times New Roman" w:hAnsi="Times New Roman" w:cs="Times New Roman"/>
                <w:szCs w:val="24"/>
              </w:rPr>
              <w:t>cero cupón</w:t>
            </w:r>
            <w:proofErr w:type="gramEnd"/>
          </w:p>
        </w:tc>
      </w:tr>
      <w:tr w:rsidR="00257907" w:rsidRPr="00257907" w14:paraId="488FE44B"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3580582E"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Plazo</w:t>
            </w:r>
            <w:proofErr w:type="spellEnd"/>
          </w:p>
        </w:tc>
        <w:tc>
          <w:tcPr>
            <w:tcW w:w="6379" w:type="dxa"/>
            <w:vAlign w:val="center"/>
            <w:hideMark/>
          </w:tcPr>
          <w:p w14:paraId="17C3AB50"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s-ES"/>
              </w:rPr>
            </w:pPr>
            <w:r w:rsidRPr="00257907">
              <w:rPr>
                <w:rFonts w:ascii="Times New Roman" w:hAnsi="Times New Roman" w:cs="Times New Roman"/>
                <w:szCs w:val="24"/>
                <w:lang w:val="es-ES"/>
              </w:rPr>
              <w:t>Se publica hasta 10 años (y el punto a 15 años)</w:t>
            </w:r>
          </w:p>
        </w:tc>
      </w:tr>
      <w:tr w:rsidR="00257907" w:rsidRPr="00257907" w14:paraId="3370E176"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2554" w:type="dxa"/>
            <w:vMerge w:val="restart"/>
            <w:vAlign w:val="center"/>
            <w:hideMark/>
          </w:tcPr>
          <w:p w14:paraId="5335EEFB"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 xml:space="preserve">Punto de </w:t>
            </w:r>
            <w:proofErr w:type="spellStart"/>
            <w:r w:rsidRPr="00257907">
              <w:rPr>
                <w:rFonts w:ascii="Times New Roman" w:hAnsi="Times New Roman" w:cs="Times New Roman"/>
                <w:szCs w:val="24"/>
                <w:lang w:val="en-US"/>
              </w:rPr>
              <w:t>inicio</w:t>
            </w:r>
            <w:proofErr w:type="spellEnd"/>
          </w:p>
        </w:tc>
        <w:tc>
          <w:tcPr>
            <w:tcW w:w="6379" w:type="dxa"/>
            <w:vMerge w:val="restart"/>
            <w:vAlign w:val="center"/>
            <w:hideMark/>
          </w:tcPr>
          <w:p w14:paraId="571DF5F0"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Mercado Integrado de Liquidez - Facilidad Permanente de Depósito (FPD)</w:t>
            </w:r>
          </w:p>
        </w:tc>
      </w:tr>
      <w:tr w:rsidR="00257907" w:rsidRPr="00257907" w14:paraId="12A45783" w14:textId="77777777" w:rsidTr="00C452DA">
        <w:trPr>
          <w:trHeight w:hRule="exact" w:val="257"/>
          <w:jc w:val="center"/>
        </w:trPr>
        <w:tc>
          <w:tcPr>
            <w:cnfStyle w:val="001000000000" w:firstRow="0" w:lastRow="0" w:firstColumn="1" w:lastColumn="0" w:oddVBand="0" w:evenVBand="0" w:oddHBand="0" w:evenHBand="0" w:firstRowFirstColumn="0" w:firstRowLastColumn="0" w:lastRowFirstColumn="0" w:lastRowLastColumn="0"/>
            <w:tcW w:w="2554" w:type="dxa"/>
            <w:vMerge/>
            <w:vAlign w:val="center"/>
            <w:hideMark/>
          </w:tcPr>
          <w:p w14:paraId="0C864D94" w14:textId="77777777" w:rsidR="00257907" w:rsidRPr="00257907" w:rsidRDefault="00257907" w:rsidP="00257907">
            <w:pPr>
              <w:spacing w:after="0" w:line="240" w:lineRule="auto"/>
              <w:jc w:val="both"/>
              <w:rPr>
                <w:rFonts w:ascii="Times New Roman" w:hAnsi="Times New Roman" w:cs="Times New Roman"/>
                <w:szCs w:val="24"/>
              </w:rPr>
            </w:pPr>
          </w:p>
        </w:tc>
        <w:tc>
          <w:tcPr>
            <w:tcW w:w="6379" w:type="dxa"/>
            <w:vMerge/>
            <w:vAlign w:val="center"/>
            <w:hideMark/>
          </w:tcPr>
          <w:p w14:paraId="175AD4D9"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257907" w:rsidRPr="00257907" w14:paraId="18D2DAC0" w14:textId="77777777" w:rsidTr="00C452DA">
        <w:trPr>
          <w:trHeight w:hRule="exact" w:val="1074"/>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45BDE56D" w14:textId="77777777" w:rsidR="00257907" w:rsidRPr="00257907" w:rsidRDefault="00257907" w:rsidP="00257907">
            <w:pPr>
              <w:spacing w:after="0" w:line="240" w:lineRule="auto"/>
              <w:jc w:val="both"/>
              <w:rPr>
                <w:rFonts w:ascii="Times New Roman" w:hAnsi="Times New Roman" w:cs="Times New Roman"/>
                <w:szCs w:val="24"/>
              </w:rPr>
            </w:pPr>
            <w:r w:rsidRPr="00257907">
              <w:rPr>
                <w:rFonts w:ascii="Times New Roman" w:hAnsi="Times New Roman" w:cs="Times New Roman"/>
                <w:szCs w:val="24"/>
              </w:rPr>
              <w:lastRenderedPageBreak/>
              <w:t>Criterio de exclusión de observaciones</w:t>
            </w:r>
          </w:p>
        </w:tc>
        <w:tc>
          <w:tcPr>
            <w:tcW w:w="6379" w:type="dxa"/>
            <w:vAlign w:val="center"/>
            <w:hideMark/>
          </w:tcPr>
          <w:p w14:paraId="21176037"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Observaciones sobre operaciones cuyos montos negociados sean inferiores al percentil 40 y superiores al percentil 99 de los volúmenes negociados durante el semestre inmediatamente anterior. Estos montos son revisados periódicamente por el BCCR.</w:t>
            </w:r>
          </w:p>
        </w:tc>
      </w:tr>
      <w:tr w:rsidR="00257907" w:rsidRPr="00257907" w14:paraId="3E54941B" w14:textId="77777777" w:rsidTr="00C452DA">
        <w:trPr>
          <w:trHeight w:hRule="exact" w:val="1239"/>
          <w:jc w:val="center"/>
        </w:trPr>
        <w:tc>
          <w:tcPr>
            <w:cnfStyle w:val="001000000000" w:firstRow="0" w:lastRow="0" w:firstColumn="1" w:lastColumn="0" w:oddVBand="0" w:evenVBand="0" w:oddHBand="0" w:evenHBand="0" w:firstRowFirstColumn="0" w:firstRowLastColumn="0" w:lastRowFirstColumn="0" w:lastRowLastColumn="0"/>
            <w:tcW w:w="2554" w:type="dxa"/>
            <w:vAlign w:val="center"/>
            <w:hideMark/>
          </w:tcPr>
          <w:p w14:paraId="6C1EB723"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Valores</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imputados</w:t>
            </w:r>
            <w:proofErr w:type="spellEnd"/>
          </w:p>
        </w:tc>
        <w:tc>
          <w:tcPr>
            <w:tcW w:w="6379" w:type="dxa"/>
            <w:hideMark/>
          </w:tcPr>
          <w:p w14:paraId="7164AD2D"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 xml:space="preserve">Únicamente en el caso de no contar con observaciones, se consideran para los plazos de 6, 8 y 10 años el cálculo a partir de una regresión, de una tasa para el plazo puntual con base en las observaciones de las cuatro semanas previas alrededor de esos plazos. </w:t>
            </w:r>
          </w:p>
        </w:tc>
      </w:tr>
    </w:tbl>
    <w:p w14:paraId="4DC293EB" w14:textId="77777777" w:rsidR="00257907" w:rsidRPr="00257907" w:rsidRDefault="00257907" w:rsidP="00257907">
      <w:pPr>
        <w:pStyle w:val="Prrafodelista"/>
        <w:jc w:val="both"/>
        <w:rPr>
          <w:rFonts w:ascii="Times New Roman" w:hAnsi="Times New Roman" w:cs="Times New Roman"/>
          <w:sz w:val="24"/>
          <w:szCs w:val="24"/>
          <w:lang w:eastAsia="es-CR"/>
        </w:rPr>
      </w:pPr>
    </w:p>
    <w:p w14:paraId="3CB17C7B"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bookmarkStart w:id="1" w:name="_Hlk53680471"/>
      <w:r w:rsidRPr="00257907">
        <w:rPr>
          <w:rFonts w:ascii="Times New Roman" w:hAnsi="Times New Roman" w:cs="Times New Roman"/>
          <w:sz w:val="24"/>
          <w:szCs w:val="24"/>
        </w:rPr>
        <w:t>E.</w:t>
      </w:r>
      <w:r w:rsidRPr="00257907">
        <w:rPr>
          <w:rFonts w:ascii="Times New Roman" w:hAnsi="Times New Roman" w:cs="Times New Roman"/>
          <w:sz w:val="24"/>
          <w:szCs w:val="24"/>
        </w:rPr>
        <w:tab/>
        <w:t>De la revisión metodológica realizada conjuntamente por la División Gestión de Activos y Pasivos y la División Económica se concluye lo siguiente:</w:t>
      </w:r>
    </w:p>
    <w:bookmarkEnd w:id="1"/>
    <w:p w14:paraId="000159EC" w14:textId="77777777" w:rsidR="00257907" w:rsidRPr="00257907" w:rsidRDefault="00257907" w:rsidP="00257907">
      <w:pPr>
        <w:autoSpaceDE w:val="0"/>
        <w:autoSpaceDN w:val="0"/>
        <w:adjustRightInd w:val="0"/>
        <w:spacing w:after="0" w:line="240" w:lineRule="auto"/>
        <w:ind w:left="360"/>
        <w:jc w:val="both"/>
        <w:rPr>
          <w:rFonts w:ascii="Times New Roman" w:hAnsi="Times New Roman"/>
          <w:sz w:val="24"/>
          <w:szCs w:val="24"/>
        </w:rPr>
      </w:pPr>
    </w:p>
    <w:p w14:paraId="4EE3610A" w14:textId="1CF44ADC" w:rsidR="00257907" w:rsidRDefault="00257907" w:rsidP="00257907">
      <w:pPr>
        <w:pStyle w:val="Prrafodelista"/>
        <w:ind w:left="851" w:hanging="425"/>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i.</w:t>
      </w:r>
      <w:r w:rsidRPr="00257907">
        <w:rPr>
          <w:rFonts w:ascii="Times New Roman" w:hAnsi="Times New Roman" w:cs="Times New Roman"/>
          <w:sz w:val="24"/>
          <w:szCs w:val="24"/>
          <w:lang w:eastAsia="es-CR"/>
        </w:rPr>
        <w:tab/>
        <w:t xml:space="preserve">Dado el </w:t>
      </w:r>
      <w:r w:rsidRPr="00257907">
        <w:rPr>
          <w:rFonts w:ascii="Times New Roman" w:hAnsi="Times New Roman" w:cs="Times New Roman"/>
          <w:color w:val="000000" w:themeColor="text1"/>
          <w:sz w:val="24"/>
          <w:szCs w:val="24"/>
          <w:lang w:eastAsia="es-CR"/>
        </w:rPr>
        <w:t xml:space="preserve">propósito de que el cálculo de  </w:t>
      </w:r>
      <w:r w:rsidRPr="00257907">
        <w:rPr>
          <w:rFonts w:ascii="Times New Roman" w:hAnsi="Times New Roman" w:cs="Times New Roman"/>
          <w:sz w:val="24"/>
          <w:szCs w:val="24"/>
          <w:lang w:eastAsia="es-CR"/>
        </w:rPr>
        <w:t>la curva de rendimientos soberana en colones tome como insumo información de mercado, se considera más apropiado utilizar, como valor inicial (costo de la liquidez a un día), una tasa que refleje negociones que efectivamente ocurren en el mercado, en vez de la tasa de la Facilidad Permanente de Depósito del BCCR, pues dicha tasa es un resultado de la postura de política monetaria y no un resultado de la interacción de oferentes y deman</w:t>
      </w:r>
      <w:r w:rsidR="00435F92">
        <w:rPr>
          <w:rFonts w:ascii="Times New Roman" w:hAnsi="Times New Roman" w:cs="Times New Roman"/>
          <w:sz w:val="24"/>
          <w:szCs w:val="24"/>
          <w:lang w:eastAsia="es-CR"/>
        </w:rPr>
        <w:t>dantes de fondos a dicho plazo.</w:t>
      </w:r>
    </w:p>
    <w:p w14:paraId="62E89291" w14:textId="77777777" w:rsidR="00435F92" w:rsidRPr="00257907" w:rsidRDefault="00435F92" w:rsidP="00257907">
      <w:pPr>
        <w:pStyle w:val="Prrafodelista"/>
        <w:ind w:left="851" w:hanging="425"/>
        <w:jc w:val="both"/>
        <w:rPr>
          <w:rFonts w:ascii="Times New Roman" w:hAnsi="Times New Roman" w:cs="Times New Roman"/>
          <w:sz w:val="24"/>
          <w:szCs w:val="24"/>
          <w:lang w:eastAsia="es-CR"/>
        </w:rPr>
      </w:pPr>
    </w:p>
    <w:p w14:paraId="040EA038" w14:textId="77777777" w:rsidR="00257907" w:rsidRDefault="00257907" w:rsidP="00257907">
      <w:pPr>
        <w:pStyle w:val="Prrafodelista"/>
        <w:ind w:left="851" w:hanging="425"/>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ii.</w:t>
      </w:r>
      <w:r w:rsidRPr="00257907">
        <w:rPr>
          <w:rFonts w:ascii="Times New Roman" w:hAnsi="Times New Roman" w:cs="Times New Roman"/>
          <w:sz w:val="24"/>
          <w:szCs w:val="24"/>
          <w:lang w:eastAsia="es-CR"/>
        </w:rPr>
        <w:tab/>
        <w:t>Como parte de las mejoras, se determinó que era innecesario efectuar “imputación de valores” para los plazos de 6 y 8 años, pero sí conservar esta posibilidad para el plazo de 10 años.</w:t>
      </w:r>
    </w:p>
    <w:p w14:paraId="00E33F54" w14:textId="77777777" w:rsidR="00435F92" w:rsidRPr="00257907" w:rsidRDefault="00435F92" w:rsidP="00257907">
      <w:pPr>
        <w:pStyle w:val="Prrafodelista"/>
        <w:ind w:left="851" w:hanging="425"/>
        <w:jc w:val="both"/>
        <w:rPr>
          <w:rFonts w:ascii="Times New Roman" w:hAnsi="Times New Roman" w:cs="Times New Roman"/>
          <w:sz w:val="24"/>
          <w:szCs w:val="24"/>
        </w:rPr>
      </w:pPr>
    </w:p>
    <w:p w14:paraId="40252EAE" w14:textId="77777777" w:rsidR="00257907" w:rsidRDefault="00257907" w:rsidP="00257907">
      <w:pPr>
        <w:pStyle w:val="Prrafodelista"/>
        <w:ind w:left="851" w:hanging="425"/>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iii.</w:t>
      </w:r>
      <w:r w:rsidRPr="00257907">
        <w:rPr>
          <w:rFonts w:ascii="Times New Roman" w:hAnsi="Times New Roman" w:cs="Times New Roman"/>
          <w:sz w:val="24"/>
          <w:szCs w:val="24"/>
          <w:lang w:eastAsia="es-CR"/>
        </w:rPr>
        <w:tab/>
        <w:t xml:space="preserve">De acuerdo con la literatura empírica y mejores prácticas internacionales en el cálculo de una curva que establezca la relación entre el plazo y rendimiento de un conjunto de títulos valores, es preciso contar con criterios sobre el nivel y la volatilidad de los </w:t>
      </w:r>
      <w:proofErr w:type="gramStart"/>
      <w:r w:rsidRPr="00257907">
        <w:rPr>
          <w:rFonts w:ascii="Times New Roman" w:hAnsi="Times New Roman" w:cs="Times New Roman"/>
          <w:sz w:val="24"/>
          <w:szCs w:val="24"/>
          <w:lang w:eastAsia="es-CR"/>
        </w:rPr>
        <w:t>rendimientos</w:t>
      </w:r>
      <w:proofErr w:type="gramEnd"/>
      <w:r w:rsidRPr="00257907">
        <w:rPr>
          <w:rFonts w:ascii="Times New Roman" w:hAnsi="Times New Roman" w:cs="Times New Roman"/>
          <w:sz w:val="24"/>
          <w:szCs w:val="24"/>
          <w:lang w:eastAsia="es-CR"/>
        </w:rPr>
        <w:t xml:space="preserve"> así como de la liquidez de los títulos valores, para que con base en dichos criterios se proceda a la eventual exclusión de observaciones que se consideren atípicas.</w:t>
      </w:r>
    </w:p>
    <w:p w14:paraId="2901189D" w14:textId="77777777" w:rsidR="00435F92" w:rsidRPr="00257907" w:rsidRDefault="00435F92" w:rsidP="00257907">
      <w:pPr>
        <w:pStyle w:val="Prrafodelista"/>
        <w:ind w:left="851" w:hanging="425"/>
        <w:jc w:val="both"/>
        <w:rPr>
          <w:rFonts w:ascii="Times New Roman" w:hAnsi="Times New Roman" w:cs="Times New Roman"/>
          <w:sz w:val="24"/>
          <w:szCs w:val="24"/>
          <w:lang w:eastAsia="es-CR"/>
        </w:rPr>
      </w:pPr>
    </w:p>
    <w:p w14:paraId="6D7C94BC" w14:textId="77777777" w:rsidR="00257907" w:rsidRPr="00257907" w:rsidRDefault="00257907" w:rsidP="00257907">
      <w:pPr>
        <w:pStyle w:val="Prrafodelista"/>
        <w:ind w:left="851" w:hanging="425"/>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iv.</w:t>
      </w:r>
      <w:r w:rsidRPr="00257907">
        <w:rPr>
          <w:rFonts w:ascii="Times New Roman" w:hAnsi="Times New Roman" w:cs="Times New Roman"/>
          <w:sz w:val="24"/>
          <w:szCs w:val="24"/>
          <w:lang w:eastAsia="es-CR"/>
        </w:rPr>
        <w:tab/>
        <w:t>La experiencia acumulada, en el cálculo de la curva de rendimientos soberana en colones, así como los diversos ejercicios de estimación, indican que existe la posibilidad que de acuerdo con criterios financieros la curva estimada muestre una forma atípica.</w:t>
      </w:r>
    </w:p>
    <w:p w14:paraId="5F62F418" w14:textId="77777777" w:rsidR="00257907" w:rsidRDefault="00257907" w:rsidP="00257907">
      <w:pPr>
        <w:pStyle w:val="Prrafodelista"/>
        <w:ind w:left="851"/>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En particular, puede ocurrir que en una semana específica no se cuente con suficientes observaciones por escasez de negociaciones, o que aun cuando hubo transacciones éstas fueran a rendimientos sustancialmente diferentes a los de los últimos tres meses y que, dado el criterio de exclusión por percentiles, no fueran tomadas en cuenta para el cálculo de la curva de dicha semana.</w:t>
      </w:r>
    </w:p>
    <w:p w14:paraId="2A1A0120" w14:textId="77777777" w:rsidR="00435F92" w:rsidRPr="00257907" w:rsidRDefault="00435F92" w:rsidP="00257907">
      <w:pPr>
        <w:pStyle w:val="Prrafodelista"/>
        <w:ind w:left="851"/>
        <w:jc w:val="both"/>
        <w:rPr>
          <w:rFonts w:ascii="Times New Roman" w:hAnsi="Times New Roman" w:cs="Times New Roman"/>
          <w:sz w:val="24"/>
          <w:szCs w:val="24"/>
          <w:lang w:eastAsia="es-CR"/>
        </w:rPr>
      </w:pPr>
    </w:p>
    <w:p w14:paraId="723B2A09" w14:textId="77777777" w:rsidR="00257907" w:rsidRPr="00257907" w:rsidRDefault="00257907" w:rsidP="00257907">
      <w:pPr>
        <w:pStyle w:val="Prrafodelista"/>
        <w:ind w:left="851"/>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La estimación en estas circunstancias puede dar lugar a que la pendiente de la curva tome valores negativos en algunos tramos o a un ajuste que no represente adecuadamente la estructura temporal de tasas de interés, todo lo cual podría resultar en una curva estimada “atípica”.</w:t>
      </w:r>
    </w:p>
    <w:p w14:paraId="55989427" w14:textId="77777777" w:rsidR="00435F92" w:rsidRDefault="00435F92" w:rsidP="00257907">
      <w:pPr>
        <w:pStyle w:val="Prrafodelista"/>
        <w:ind w:left="851"/>
        <w:jc w:val="both"/>
        <w:rPr>
          <w:rFonts w:ascii="Times New Roman" w:hAnsi="Times New Roman" w:cs="Times New Roman"/>
          <w:sz w:val="24"/>
          <w:szCs w:val="24"/>
          <w:lang w:eastAsia="es-CR"/>
        </w:rPr>
      </w:pPr>
    </w:p>
    <w:p w14:paraId="62C89BFF" w14:textId="77777777" w:rsidR="00257907" w:rsidRDefault="00257907" w:rsidP="00257907">
      <w:pPr>
        <w:pStyle w:val="Prrafodelista"/>
        <w:ind w:left="851"/>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Para estos casos y con el propósito de dar objetividad a la forma en que se determina la atipicidad de la curva de rendimientos, es necesario definir un procedimiento uniforme y estandarizado de cómo ha de proceder la Administración ante estas situaciones.</w:t>
      </w:r>
    </w:p>
    <w:p w14:paraId="4451AE44" w14:textId="77777777" w:rsidR="00257907" w:rsidRPr="00257907" w:rsidRDefault="00257907" w:rsidP="00257907">
      <w:pPr>
        <w:pStyle w:val="Prrafodelista"/>
        <w:ind w:left="851"/>
        <w:jc w:val="both"/>
        <w:rPr>
          <w:rFonts w:ascii="Times New Roman" w:hAnsi="Times New Roman" w:cs="Times New Roman"/>
          <w:sz w:val="24"/>
          <w:szCs w:val="24"/>
          <w:lang w:eastAsia="es-CR"/>
        </w:rPr>
      </w:pPr>
    </w:p>
    <w:p w14:paraId="451561E0"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F.</w:t>
      </w:r>
      <w:r w:rsidRPr="00257907">
        <w:rPr>
          <w:rFonts w:ascii="Times New Roman" w:hAnsi="Times New Roman" w:cs="Times New Roman"/>
          <w:sz w:val="24"/>
          <w:szCs w:val="24"/>
        </w:rPr>
        <w:tab/>
        <w:t>Mediante artículo 7 de la sesión 5881-2019 del 12 de junio de 2019, la Junta Directiva del BCCR aprobó la “</w:t>
      </w:r>
      <w:r w:rsidRPr="00257907">
        <w:rPr>
          <w:rFonts w:ascii="Times New Roman" w:hAnsi="Times New Roman" w:cs="Times New Roman"/>
          <w:b/>
          <w:bCs/>
          <w:i/>
          <w:iCs/>
          <w:color w:val="000000"/>
          <w:sz w:val="24"/>
          <w:szCs w:val="24"/>
        </w:rPr>
        <w:t>METODOLOGÍA PARA FIJAR LAS TASAS DE LAS OPERACIONES DE MERCADO ABIERTO”</w:t>
      </w:r>
      <w:r w:rsidRPr="00257907">
        <w:rPr>
          <w:rFonts w:ascii="Times New Roman" w:hAnsi="Times New Roman" w:cs="Times New Roman"/>
          <w:sz w:val="24"/>
          <w:szCs w:val="24"/>
        </w:rPr>
        <w:t xml:space="preserve"> </w:t>
      </w:r>
      <w:proofErr w:type="gramStart"/>
      <w:r w:rsidRPr="00257907">
        <w:rPr>
          <w:rFonts w:ascii="Times New Roman" w:hAnsi="Times New Roman" w:cs="Times New Roman"/>
          <w:sz w:val="24"/>
          <w:szCs w:val="24"/>
        </w:rPr>
        <w:t>que</w:t>
      </w:r>
      <w:proofErr w:type="gramEnd"/>
      <w:r w:rsidRPr="00257907">
        <w:rPr>
          <w:rFonts w:ascii="Times New Roman" w:hAnsi="Times New Roman" w:cs="Times New Roman"/>
          <w:sz w:val="24"/>
          <w:szCs w:val="24"/>
        </w:rPr>
        <w:t xml:space="preserve"> en su ordinal I, indica:</w:t>
      </w:r>
    </w:p>
    <w:p w14:paraId="605898DA" w14:textId="77777777" w:rsidR="00257907" w:rsidRPr="00257907" w:rsidRDefault="00257907" w:rsidP="00257907">
      <w:pPr>
        <w:pStyle w:val="Prrafodelista"/>
        <w:autoSpaceDE w:val="0"/>
        <w:autoSpaceDN w:val="0"/>
        <w:adjustRightInd w:val="0"/>
        <w:jc w:val="both"/>
        <w:rPr>
          <w:rFonts w:ascii="Times New Roman" w:hAnsi="Times New Roman" w:cs="Times New Roman"/>
          <w:sz w:val="24"/>
          <w:szCs w:val="24"/>
        </w:rPr>
      </w:pPr>
    </w:p>
    <w:p w14:paraId="41ECD22A" w14:textId="77777777" w:rsidR="00257907" w:rsidRPr="00257907" w:rsidRDefault="00257907" w:rsidP="00257907">
      <w:pPr>
        <w:pStyle w:val="Prrafodelista"/>
        <w:autoSpaceDE w:val="0"/>
        <w:autoSpaceDN w:val="0"/>
        <w:adjustRightInd w:val="0"/>
        <w:ind w:left="426"/>
        <w:jc w:val="both"/>
        <w:rPr>
          <w:rFonts w:ascii="Times New Roman" w:hAnsi="Times New Roman" w:cs="Times New Roman"/>
          <w:sz w:val="24"/>
          <w:szCs w:val="24"/>
        </w:rPr>
      </w:pPr>
      <w:r w:rsidRPr="00257907">
        <w:rPr>
          <w:rFonts w:ascii="Times New Roman" w:hAnsi="Times New Roman" w:cs="Times New Roman"/>
          <w:sz w:val="24"/>
          <w:szCs w:val="24"/>
        </w:rPr>
        <w:t>“</w:t>
      </w:r>
      <w:r w:rsidRPr="00257907">
        <w:rPr>
          <w:rFonts w:ascii="Times New Roman" w:hAnsi="Times New Roman" w:cs="Times New Roman"/>
          <w:i/>
          <w:iCs/>
          <w:color w:val="000000"/>
          <w:sz w:val="24"/>
          <w:szCs w:val="24"/>
        </w:rPr>
        <w:t>Las tasas netas de captación de los pasivos con costo, de las operaciones en mercado secundario y de otros mecanismos de gestión de deuda del Banco Central de Costa Rica a plazos de más de 90 días, se basarán en la curva de rendimiento soberana que se calcula semanalmente con base en la metodología presentada por la División Gestión Activos y Pasivos, el 23 de setiembre de 2015.”</w:t>
      </w:r>
    </w:p>
    <w:p w14:paraId="35476F79" w14:textId="77777777" w:rsidR="00257907" w:rsidRPr="00257907" w:rsidRDefault="00257907" w:rsidP="00257907">
      <w:pPr>
        <w:pStyle w:val="Prrafodelista"/>
        <w:autoSpaceDE w:val="0"/>
        <w:autoSpaceDN w:val="0"/>
        <w:adjustRightInd w:val="0"/>
        <w:ind w:left="426"/>
        <w:jc w:val="both"/>
        <w:rPr>
          <w:rFonts w:ascii="Times New Roman" w:hAnsi="Times New Roman" w:cs="Times New Roman"/>
          <w:sz w:val="24"/>
          <w:szCs w:val="24"/>
        </w:rPr>
      </w:pPr>
    </w:p>
    <w:p w14:paraId="108C431C" w14:textId="77777777" w:rsidR="00257907" w:rsidRPr="00257907" w:rsidRDefault="00257907" w:rsidP="00257907">
      <w:pPr>
        <w:pStyle w:val="Prrafodelista"/>
        <w:autoSpaceDE w:val="0"/>
        <w:autoSpaceDN w:val="0"/>
        <w:adjustRightInd w:val="0"/>
        <w:ind w:left="426"/>
        <w:jc w:val="both"/>
        <w:rPr>
          <w:rFonts w:ascii="Times New Roman" w:hAnsi="Times New Roman" w:cs="Times New Roman"/>
          <w:sz w:val="24"/>
          <w:szCs w:val="24"/>
        </w:rPr>
      </w:pPr>
      <w:r w:rsidRPr="00257907">
        <w:rPr>
          <w:rFonts w:ascii="Times New Roman" w:hAnsi="Times New Roman" w:cs="Times New Roman"/>
          <w:sz w:val="24"/>
          <w:szCs w:val="24"/>
        </w:rPr>
        <w:t>La disposición anterior hace referencia a la metodología de cálculo de la curva de rendimientos soberana en colones existente a una fecha específica (23 de setiembre de 2015). Con el propósito de evitar ambigüedad sobre cuál metodología aplicar en el cálculo de dicha curva, es necesario prescindir de la referencia a la fecha antes citada, pues se entiende que el cálculo (de la curva) se realiza, en todo momento, de acuerdo con la metodología que esté vigente.</w:t>
      </w:r>
    </w:p>
    <w:p w14:paraId="6FF74DF4" w14:textId="77777777" w:rsidR="00257907" w:rsidRPr="00E2463C" w:rsidRDefault="00257907" w:rsidP="00257907">
      <w:pPr>
        <w:pStyle w:val="Prrafodelista"/>
        <w:autoSpaceDE w:val="0"/>
        <w:autoSpaceDN w:val="0"/>
        <w:adjustRightInd w:val="0"/>
        <w:jc w:val="both"/>
        <w:rPr>
          <w:rFonts w:ascii="Times New Roman" w:hAnsi="Times New Roman" w:cs="Times New Roman"/>
          <w:szCs w:val="24"/>
          <w:lang w:eastAsia="es-CR"/>
        </w:rPr>
      </w:pPr>
    </w:p>
    <w:p w14:paraId="7D768019" w14:textId="77777777" w:rsidR="00257907" w:rsidRPr="00E2463C" w:rsidRDefault="00257907" w:rsidP="00257907">
      <w:pPr>
        <w:pStyle w:val="Prrafodelista"/>
        <w:ind w:left="0"/>
        <w:jc w:val="both"/>
        <w:rPr>
          <w:rFonts w:ascii="Times New Roman" w:hAnsi="Times New Roman" w:cs="Times New Roman"/>
          <w:b/>
          <w:sz w:val="24"/>
          <w:szCs w:val="24"/>
        </w:rPr>
      </w:pPr>
      <w:r w:rsidRPr="00E2463C">
        <w:rPr>
          <w:rFonts w:ascii="Times New Roman" w:hAnsi="Times New Roman" w:cs="Times New Roman"/>
          <w:b/>
          <w:bCs/>
          <w:sz w:val="24"/>
          <w:szCs w:val="24"/>
        </w:rPr>
        <w:t>dispuso</w:t>
      </w:r>
      <w:r w:rsidRPr="00E2463C">
        <w:rPr>
          <w:rFonts w:ascii="Times New Roman" w:hAnsi="Times New Roman" w:cs="Times New Roman"/>
          <w:b/>
          <w:sz w:val="24"/>
          <w:szCs w:val="24"/>
        </w:rPr>
        <w:t>:</w:t>
      </w:r>
    </w:p>
    <w:p w14:paraId="461D4607" w14:textId="77777777" w:rsidR="00257907" w:rsidRPr="00E2463C" w:rsidRDefault="00257907" w:rsidP="00257907">
      <w:pPr>
        <w:pStyle w:val="Prrafodelista"/>
        <w:ind w:left="0"/>
        <w:jc w:val="both"/>
        <w:rPr>
          <w:rFonts w:ascii="Times New Roman" w:hAnsi="Times New Roman" w:cs="Times New Roman"/>
          <w:szCs w:val="24"/>
        </w:rPr>
      </w:pPr>
    </w:p>
    <w:p w14:paraId="6C1459A0"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bookmarkStart w:id="2" w:name="_Hlk53672248"/>
      <w:r w:rsidRPr="00257907">
        <w:rPr>
          <w:rFonts w:ascii="Times New Roman" w:hAnsi="Times New Roman" w:cs="Times New Roman"/>
          <w:sz w:val="24"/>
          <w:szCs w:val="24"/>
        </w:rPr>
        <w:t>1.</w:t>
      </w:r>
      <w:r w:rsidRPr="00257907">
        <w:rPr>
          <w:rFonts w:ascii="Times New Roman" w:hAnsi="Times New Roman" w:cs="Times New Roman"/>
          <w:sz w:val="24"/>
          <w:szCs w:val="24"/>
        </w:rPr>
        <w:tab/>
        <w:t>Calcular la curva de rendimientos soberana en colones, con base en la información sobre las negociaciones en los mercados primario y secundario de bonos emitidos por el Ministerio de Hacienda y el Banco Central de Costa Rica, con las siguientes características:</w:t>
      </w:r>
    </w:p>
    <w:p w14:paraId="63BF3C38" w14:textId="77777777" w:rsidR="00257907" w:rsidRPr="00257907" w:rsidRDefault="00257907" w:rsidP="00257907">
      <w:pPr>
        <w:pStyle w:val="Prrafodelista"/>
        <w:autoSpaceDE w:val="0"/>
        <w:autoSpaceDN w:val="0"/>
        <w:adjustRightInd w:val="0"/>
        <w:ind w:left="426" w:right="-234" w:hanging="426"/>
        <w:contextualSpacing/>
        <w:jc w:val="both"/>
        <w:rPr>
          <w:rFonts w:ascii="Times New Roman" w:hAnsi="Times New Roman" w:cs="Times New Roman"/>
          <w:sz w:val="24"/>
          <w:szCs w:val="24"/>
        </w:rPr>
      </w:pPr>
    </w:p>
    <w:bookmarkEnd w:id="2"/>
    <w:p w14:paraId="3A761C2B" w14:textId="409D4613" w:rsidR="00257907" w:rsidRDefault="00257907" w:rsidP="00257907">
      <w:pPr>
        <w:pStyle w:val="Prrafodelista"/>
        <w:ind w:left="993" w:hanging="567"/>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1.1.</w:t>
      </w:r>
      <w:r w:rsidRPr="00257907">
        <w:rPr>
          <w:rFonts w:ascii="Times New Roman" w:hAnsi="Times New Roman" w:cs="Times New Roman"/>
          <w:sz w:val="24"/>
          <w:szCs w:val="24"/>
          <w:lang w:eastAsia="es-CR"/>
        </w:rPr>
        <w:tab/>
        <w:t>Punto de inicio: Tasa de interés ponderada de las negociaciones del Mercado Integrado de Liquidez (MIL) a un día plazo en moneda nacional. Corresponde a la tasa de interés ponderada por el monto de las operaciones a 1 día plazo en colones efectuadas entre los participantes del mercado; es decir, el BCCR y los entes autorizados, por lo que incluye las subastas diarias de inyección o contracción de liquidez en el MIL. Sin embargo, no se incluyen las transacciones de la facilidad permanente de depósito ni las de la facilidad permanente de crédito.</w:t>
      </w:r>
    </w:p>
    <w:p w14:paraId="0C974AD0" w14:textId="77777777" w:rsidR="00257907" w:rsidRPr="00257907" w:rsidRDefault="00257907" w:rsidP="00257907">
      <w:pPr>
        <w:pStyle w:val="Prrafodelista"/>
        <w:ind w:left="993" w:hanging="567"/>
        <w:jc w:val="both"/>
        <w:rPr>
          <w:rFonts w:ascii="Times New Roman" w:hAnsi="Times New Roman" w:cs="Times New Roman"/>
          <w:sz w:val="24"/>
          <w:szCs w:val="24"/>
          <w:lang w:eastAsia="es-CR"/>
        </w:rPr>
      </w:pPr>
    </w:p>
    <w:p w14:paraId="60235FB5" w14:textId="77777777" w:rsidR="00257907" w:rsidRDefault="00257907" w:rsidP="00257907">
      <w:pPr>
        <w:pStyle w:val="Prrafodelista"/>
        <w:ind w:left="993" w:hanging="567"/>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1.2.</w:t>
      </w:r>
      <w:r w:rsidRPr="00257907">
        <w:rPr>
          <w:rFonts w:ascii="Times New Roman" w:hAnsi="Times New Roman" w:cs="Times New Roman"/>
          <w:sz w:val="24"/>
          <w:szCs w:val="24"/>
          <w:lang w:eastAsia="es-CR"/>
        </w:rPr>
        <w:tab/>
        <w:t>Los criterios de exclusión de observaciones, con base en volatilidad, liquidez y estabilidad, serán:</w:t>
      </w:r>
    </w:p>
    <w:p w14:paraId="42A9EF8B" w14:textId="77777777" w:rsidR="00435F92" w:rsidRPr="00257907" w:rsidRDefault="00435F92" w:rsidP="00257907">
      <w:pPr>
        <w:pStyle w:val="Prrafodelista"/>
        <w:ind w:left="993" w:hanging="567"/>
        <w:jc w:val="both"/>
        <w:rPr>
          <w:rFonts w:ascii="Times New Roman" w:hAnsi="Times New Roman" w:cs="Times New Roman"/>
          <w:sz w:val="24"/>
          <w:szCs w:val="24"/>
          <w:lang w:eastAsia="es-CR"/>
        </w:rPr>
      </w:pPr>
    </w:p>
    <w:p w14:paraId="481B8489"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1.2.1.</w:t>
      </w:r>
      <w:r w:rsidRPr="00257907">
        <w:rPr>
          <w:rFonts w:ascii="Times New Roman" w:hAnsi="Times New Roman" w:cs="Times New Roman"/>
          <w:sz w:val="24"/>
          <w:szCs w:val="24"/>
          <w:lang w:eastAsia="es-CR"/>
        </w:rPr>
        <w:tab/>
        <w:t>Por volatilidad, se excluyen de la muestra los bonos tasa fija con vencimiento entre cero y seis meses.</w:t>
      </w:r>
    </w:p>
    <w:p w14:paraId="0C579190"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62B8572E"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1.2.2.</w:t>
      </w:r>
      <w:r w:rsidRPr="00257907">
        <w:rPr>
          <w:rFonts w:ascii="Times New Roman" w:hAnsi="Times New Roman" w:cs="Times New Roman"/>
          <w:sz w:val="24"/>
          <w:szCs w:val="24"/>
          <w:lang w:eastAsia="es-CR"/>
        </w:rPr>
        <w:tab/>
        <w:t xml:space="preserve">Igualmente, por volatilidad se excluyen los títulos </w:t>
      </w:r>
      <w:proofErr w:type="gramStart"/>
      <w:r w:rsidRPr="00257907">
        <w:rPr>
          <w:rFonts w:ascii="Times New Roman" w:hAnsi="Times New Roman" w:cs="Times New Roman"/>
          <w:sz w:val="24"/>
          <w:szCs w:val="24"/>
          <w:lang w:eastAsia="es-CR"/>
        </w:rPr>
        <w:t>cero cupón</w:t>
      </w:r>
      <w:proofErr w:type="gramEnd"/>
      <w:r w:rsidRPr="00257907">
        <w:rPr>
          <w:rFonts w:ascii="Times New Roman" w:hAnsi="Times New Roman" w:cs="Times New Roman"/>
          <w:sz w:val="24"/>
          <w:szCs w:val="24"/>
          <w:lang w:eastAsia="es-CR"/>
        </w:rPr>
        <w:t xml:space="preserve"> con vencimiento entre cero y tres meses.</w:t>
      </w:r>
    </w:p>
    <w:p w14:paraId="1677E5E1"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54F570A0"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lastRenderedPageBreak/>
        <w:t>1.2.3.</w:t>
      </w:r>
      <w:r w:rsidRPr="00257907">
        <w:rPr>
          <w:rFonts w:ascii="Times New Roman" w:hAnsi="Times New Roman" w:cs="Times New Roman"/>
          <w:sz w:val="24"/>
          <w:szCs w:val="24"/>
          <w:lang w:eastAsia="es-CR"/>
        </w:rPr>
        <w:tab/>
        <w:t>Se excluyen los bonos con un vencimiento mayor a diez años dado que son poco frecuentes las negociaciones de estos títulos, y generalmente su precio refleja una demanda particular de ahorrantes institucionales que necesitan activos de mayor plazo.</w:t>
      </w:r>
    </w:p>
    <w:p w14:paraId="10BAB4CB"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66EEA00F"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1.2.4.</w:t>
      </w:r>
      <w:r w:rsidRPr="00257907">
        <w:rPr>
          <w:rFonts w:ascii="Times New Roman" w:hAnsi="Times New Roman" w:cs="Times New Roman"/>
          <w:sz w:val="24"/>
          <w:szCs w:val="24"/>
          <w:lang w:eastAsia="es-CR"/>
        </w:rPr>
        <w:tab/>
        <w:t xml:space="preserve">Se excluyen las observaciones atípicas que puedan generar sesgos en la estimación.  Específicamente, se excluirán las negociaciones de valores cuyo rendimiento esté por debajo del percentil 5 o por encima del percentil 95 de las observaciones de los últimos tres meses. </w:t>
      </w:r>
    </w:p>
    <w:p w14:paraId="714A0BCF" w14:textId="77777777" w:rsidR="00257907" w:rsidRPr="00257907" w:rsidRDefault="00257907" w:rsidP="00257907">
      <w:pPr>
        <w:pStyle w:val="Prrafodelista"/>
        <w:ind w:left="1701" w:hanging="708"/>
        <w:jc w:val="both"/>
        <w:rPr>
          <w:rFonts w:ascii="Times New Roman" w:hAnsi="Times New Roman" w:cs="Times New Roman"/>
          <w:sz w:val="24"/>
          <w:szCs w:val="24"/>
          <w:lang w:eastAsia="es-CR"/>
        </w:rPr>
      </w:pPr>
    </w:p>
    <w:p w14:paraId="6B7F5BE7" w14:textId="77777777" w:rsidR="00257907" w:rsidRDefault="00257907" w:rsidP="00257907">
      <w:pPr>
        <w:pStyle w:val="Prrafodelista"/>
        <w:ind w:left="993" w:hanging="567"/>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1.3.</w:t>
      </w:r>
      <w:r w:rsidRPr="00257907">
        <w:rPr>
          <w:rFonts w:ascii="Times New Roman" w:hAnsi="Times New Roman" w:cs="Times New Roman"/>
          <w:sz w:val="24"/>
          <w:szCs w:val="24"/>
          <w:lang w:eastAsia="es-CR"/>
        </w:rPr>
        <w:tab/>
        <w:t>Cada observación de rendimiento se ponderará por el monto negociado.</w:t>
      </w:r>
    </w:p>
    <w:p w14:paraId="40B3F1AB" w14:textId="77777777" w:rsidR="00257907" w:rsidRPr="00257907" w:rsidRDefault="00257907" w:rsidP="00257907">
      <w:pPr>
        <w:pStyle w:val="Prrafodelista"/>
        <w:ind w:left="993" w:hanging="567"/>
        <w:jc w:val="both"/>
        <w:rPr>
          <w:rFonts w:ascii="Times New Roman" w:hAnsi="Times New Roman" w:cs="Times New Roman"/>
          <w:sz w:val="24"/>
          <w:szCs w:val="24"/>
          <w:lang w:eastAsia="es-CR"/>
        </w:rPr>
      </w:pPr>
    </w:p>
    <w:p w14:paraId="0FF5A1CF" w14:textId="77777777" w:rsidR="00257907" w:rsidRDefault="00257907" w:rsidP="00257907">
      <w:pPr>
        <w:pStyle w:val="Prrafodelista"/>
        <w:ind w:left="993" w:hanging="567"/>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1.4.</w:t>
      </w:r>
      <w:r w:rsidRPr="00257907">
        <w:rPr>
          <w:rFonts w:ascii="Times New Roman" w:hAnsi="Times New Roman" w:cs="Times New Roman"/>
          <w:sz w:val="24"/>
          <w:szCs w:val="24"/>
          <w:lang w:eastAsia="es-CR"/>
        </w:rPr>
        <w:tab/>
        <w:t xml:space="preserve">En las semanas en que no hay negociaciones de largo plazo en el mercado, se imputa un valor de referencia a diez años. </w:t>
      </w:r>
    </w:p>
    <w:p w14:paraId="524B157F" w14:textId="77777777" w:rsidR="00257907" w:rsidRPr="00257907" w:rsidRDefault="00257907" w:rsidP="00257907">
      <w:pPr>
        <w:pStyle w:val="Prrafodelista"/>
        <w:ind w:left="993" w:hanging="567"/>
        <w:jc w:val="both"/>
        <w:rPr>
          <w:rFonts w:ascii="Times New Roman" w:hAnsi="Times New Roman" w:cs="Times New Roman"/>
          <w:sz w:val="24"/>
          <w:szCs w:val="24"/>
          <w:lang w:eastAsia="es-CR"/>
        </w:rPr>
      </w:pPr>
    </w:p>
    <w:p w14:paraId="5D4D4376" w14:textId="77777777" w:rsidR="00257907" w:rsidRDefault="00257907" w:rsidP="00257907">
      <w:pPr>
        <w:pStyle w:val="Prrafodelista"/>
        <w:ind w:left="993" w:hanging="567"/>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1.5.</w:t>
      </w:r>
      <w:r w:rsidRPr="00257907">
        <w:rPr>
          <w:rFonts w:ascii="Times New Roman" w:hAnsi="Times New Roman" w:cs="Times New Roman"/>
          <w:sz w:val="24"/>
          <w:szCs w:val="24"/>
          <w:lang w:eastAsia="es-CR"/>
        </w:rPr>
        <w:tab/>
        <w:t xml:space="preserve">Cuando, en una semana particular, la curva de rendimientos soberana en colones presente una forma atípica, se procederá de la siguiente forma: </w:t>
      </w:r>
    </w:p>
    <w:p w14:paraId="258483F4" w14:textId="77777777" w:rsidR="00257907" w:rsidRPr="00257907" w:rsidRDefault="00257907" w:rsidP="00257907">
      <w:pPr>
        <w:pStyle w:val="Prrafodelista"/>
        <w:ind w:left="993" w:hanging="567"/>
        <w:jc w:val="both"/>
        <w:rPr>
          <w:rFonts w:ascii="Times New Roman" w:hAnsi="Times New Roman" w:cs="Times New Roman"/>
          <w:sz w:val="24"/>
          <w:szCs w:val="24"/>
          <w:lang w:eastAsia="es-CR"/>
        </w:rPr>
      </w:pPr>
    </w:p>
    <w:p w14:paraId="7821E7B8"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1.5.1.</w:t>
      </w:r>
      <w:r w:rsidRPr="00257907">
        <w:rPr>
          <w:rFonts w:ascii="Times New Roman" w:hAnsi="Times New Roman" w:cs="Times New Roman"/>
          <w:sz w:val="24"/>
          <w:szCs w:val="24"/>
          <w:lang w:eastAsia="es-CR"/>
        </w:rPr>
        <w:tab/>
        <w:t>La dirección del Departamento de Estadística Macroeconómica (DEM) informará mediante correo electrónico a los miembros de la Comisión de Mercados sobre las razones por las que la estimación de la curva de rendimientos soberana en colones presenta una forma atípica y propondrá el ajuste metodológico que se requiere para realizar la estimación de la semana en cuestión.</w:t>
      </w:r>
    </w:p>
    <w:p w14:paraId="65B6913B"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47C38696" w14:textId="77777777" w:rsidR="00257907" w:rsidRDefault="00257907" w:rsidP="00257907">
      <w:pPr>
        <w:pStyle w:val="Prrafodelista"/>
        <w:ind w:left="1701"/>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 xml:space="preserve">El correo debe evidenciar los criterios objetivos (financieros y estadísticos) por los cuales se considera que la curva es atípica: falta de observaciones o movimientos abruptos en las tasas negociadas. Además, debe incluir el resultado del </w:t>
      </w:r>
      <w:r w:rsidRPr="00257907">
        <w:rPr>
          <w:rFonts w:ascii="Times New Roman" w:hAnsi="Times New Roman" w:cs="Times New Roman"/>
          <w:i/>
          <w:iCs/>
          <w:sz w:val="24"/>
          <w:szCs w:val="24"/>
          <w:lang w:eastAsia="es-CR"/>
        </w:rPr>
        <w:t>indicador de exclusión</w:t>
      </w:r>
      <w:r w:rsidRPr="00257907">
        <w:rPr>
          <w:rFonts w:ascii="Times New Roman" w:hAnsi="Times New Roman" w:cs="Times New Roman"/>
          <w:sz w:val="24"/>
          <w:szCs w:val="24"/>
          <w:lang w:eastAsia="es-CR"/>
        </w:rPr>
        <w:t xml:space="preserve">, que se define como la proporción de observaciones excluidas (es decir, las observaciones excluidas como porcentaje del total) de acuerdo con el criterio de los percentiles. </w:t>
      </w:r>
    </w:p>
    <w:p w14:paraId="27EE7B32" w14:textId="77777777" w:rsidR="00435F92" w:rsidRPr="00257907" w:rsidRDefault="00435F92" w:rsidP="00257907">
      <w:pPr>
        <w:pStyle w:val="Prrafodelista"/>
        <w:ind w:left="1701"/>
        <w:jc w:val="both"/>
        <w:rPr>
          <w:rFonts w:ascii="Times New Roman" w:hAnsi="Times New Roman" w:cs="Times New Roman"/>
          <w:sz w:val="24"/>
          <w:szCs w:val="24"/>
          <w:lang w:eastAsia="es-CR"/>
        </w:rPr>
      </w:pPr>
    </w:p>
    <w:p w14:paraId="330F155D"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1.5.2.</w:t>
      </w:r>
      <w:r w:rsidRPr="00257907">
        <w:rPr>
          <w:rFonts w:ascii="Times New Roman" w:hAnsi="Times New Roman" w:cs="Times New Roman"/>
          <w:sz w:val="24"/>
          <w:szCs w:val="24"/>
          <w:lang w:eastAsia="es-CR"/>
        </w:rPr>
        <w:tab/>
        <w:t>Si la atipicidad es por falta de observaciones por escasez de negociaciones, el informe del DEM presentará como opción de cálculo una curva estimada, con información donde sea pertinente, de la semana inmediata anterior.</w:t>
      </w:r>
    </w:p>
    <w:p w14:paraId="02F90330"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64B367B3"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1.5.3.</w:t>
      </w:r>
      <w:r w:rsidRPr="00257907">
        <w:rPr>
          <w:rFonts w:ascii="Times New Roman" w:hAnsi="Times New Roman" w:cs="Times New Roman"/>
          <w:sz w:val="24"/>
          <w:szCs w:val="24"/>
          <w:lang w:eastAsia="es-CR"/>
        </w:rPr>
        <w:tab/>
        <w:t>Si la atipicidad es por cambios abruptos en la magnitud en los rendimientos negociados en el mercado, el DEM procederá a calcular, alternativamente, la curva de rendimientos soberana en colones sin considerar el criterio de exclusión de valores extremos.</w:t>
      </w:r>
    </w:p>
    <w:p w14:paraId="25FBE9A2"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519E32D7" w14:textId="77777777" w:rsidR="00257907" w:rsidRDefault="00257907" w:rsidP="00257907">
      <w:pPr>
        <w:pStyle w:val="Prrafodelista"/>
        <w:ind w:left="1701" w:hanging="708"/>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1.5.4.</w:t>
      </w:r>
      <w:r w:rsidRPr="00257907">
        <w:rPr>
          <w:rFonts w:ascii="Times New Roman" w:hAnsi="Times New Roman" w:cs="Times New Roman"/>
          <w:sz w:val="24"/>
          <w:szCs w:val="24"/>
          <w:lang w:eastAsia="es-CR"/>
        </w:rPr>
        <w:tab/>
        <w:t xml:space="preserve">Los miembros de la Comisión de Mercados deberán dejar documentada en la minuta de cada reunión la decisión finalmente adoptada en cuanto a la </w:t>
      </w:r>
      <w:r w:rsidRPr="00257907">
        <w:rPr>
          <w:rFonts w:ascii="Times New Roman" w:hAnsi="Times New Roman" w:cs="Times New Roman"/>
          <w:sz w:val="24"/>
          <w:szCs w:val="24"/>
          <w:lang w:eastAsia="es-CR"/>
        </w:rPr>
        <w:lastRenderedPageBreak/>
        <w:t>estimación de la curva de rendimientos soberana en colones, para la semana correspondiente.</w:t>
      </w:r>
    </w:p>
    <w:p w14:paraId="4C3EB13D" w14:textId="77777777" w:rsidR="00435F92" w:rsidRPr="00257907" w:rsidRDefault="00435F92" w:rsidP="00257907">
      <w:pPr>
        <w:pStyle w:val="Prrafodelista"/>
        <w:ind w:left="1701" w:hanging="708"/>
        <w:jc w:val="both"/>
        <w:rPr>
          <w:rFonts w:ascii="Times New Roman" w:hAnsi="Times New Roman" w:cs="Times New Roman"/>
          <w:sz w:val="24"/>
          <w:szCs w:val="24"/>
          <w:lang w:eastAsia="es-CR"/>
        </w:rPr>
      </w:pPr>
    </w:p>
    <w:p w14:paraId="3D1142C3" w14:textId="6C9613DA"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lang w:eastAsia="es-CR"/>
        </w:rPr>
      </w:pPr>
      <w:r w:rsidRPr="00257907">
        <w:rPr>
          <w:rFonts w:ascii="Times New Roman" w:hAnsi="Times New Roman" w:cs="Times New Roman"/>
          <w:sz w:val="24"/>
          <w:szCs w:val="24"/>
          <w:lang w:eastAsia="es-CR"/>
        </w:rPr>
        <w:t>2.</w:t>
      </w:r>
      <w:r w:rsidRPr="00257907">
        <w:rPr>
          <w:rFonts w:ascii="Times New Roman" w:hAnsi="Times New Roman" w:cs="Times New Roman"/>
          <w:sz w:val="24"/>
          <w:szCs w:val="24"/>
          <w:lang w:eastAsia="es-CR"/>
        </w:rPr>
        <w:tab/>
        <w:t>El siguiente cuadro resume los criterios de la presente revisión metodológica:</w:t>
      </w:r>
    </w:p>
    <w:p w14:paraId="5A3B18D1" w14:textId="77777777" w:rsidR="00257907" w:rsidRPr="00257907" w:rsidRDefault="00257907" w:rsidP="00257907">
      <w:pPr>
        <w:pStyle w:val="Prrafodelista"/>
        <w:ind w:left="360"/>
        <w:jc w:val="both"/>
        <w:rPr>
          <w:rFonts w:ascii="Times New Roman" w:hAnsi="Times New Roman" w:cs="Times New Roman"/>
          <w:sz w:val="24"/>
          <w:szCs w:val="24"/>
          <w:lang w:eastAsia="es-CR"/>
        </w:rPr>
      </w:pPr>
    </w:p>
    <w:tbl>
      <w:tblPr>
        <w:tblStyle w:val="Tablaconcuadrcula1clara"/>
        <w:tblW w:w="8701" w:type="dxa"/>
        <w:jc w:val="center"/>
        <w:tblLook w:val="04A0" w:firstRow="1" w:lastRow="0" w:firstColumn="1" w:lastColumn="0" w:noHBand="0" w:noVBand="1"/>
      </w:tblPr>
      <w:tblGrid>
        <w:gridCol w:w="3088"/>
        <w:gridCol w:w="5613"/>
      </w:tblGrid>
      <w:tr w:rsidR="00257907" w:rsidRPr="00257907" w14:paraId="6AEEF9C7" w14:textId="77777777" w:rsidTr="00E2463C">
        <w:trPr>
          <w:cnfStyle w:val="100000000000" w:firstRow="1" w:lastRow="0" w:firstColumn="0" w:lastColumn="0" w:oddVBand="0" w:evenVBand="0" w:oddHBand="0" w:evenHBand="0" w:firstRowFirstColumn="0" w:firstRowLastColumn="0" w:lastRowFirstColumn="0" w:lastRowLastColumn="0"/>
          <w:trHeight w:hRule="exact" w:val="635"/>
          <w:jc w:val="center"/>
        </w:trPr>
        <w:tc>
          <w:tcPr>
            <w:cnfStyle w:val="001000000000" w:firstRow="0" w:lastRow="0" w:firstColumn="1" w:lastColumn="0" w:oddVBand="0" w:evenVBand="0" w:oddHBand="0" w:evenHBand="0" w:firstRowFirstColumn="0" w:firstRowLastColumn="0" w:lastRowFirstColumn="0" w:lastRowLastColumn="0"/>
            <w:tcW w:w="8701" w:type="dxa"/>
            <w:gridSpan w:val="2"/>
            <w:shd w:val="clear" w:color="auto" w:fill="1F4E79" w:themeFill="accent1" w:themeFillShade="80"/>
          </w:tcPr>
          <w:p w14:paraId="2833EBEF" w14:textId="548480F0" w:rsidR="00257907" w:rsidRPr="00E2463C" w:rsidRDefault="00257907" w:rsidP="00257907">
            <w:pPr>
              <w:pStyle w:val="Prrafodelista"/>
              <w:ind w:left="0"/>
              <w:jc w:val="center"/>
              <w:rPr>
                <w:rFonts w:ascii="Times New Roman" w:eastAsia="Times New Roman" w:hAnsi="Times New Roman" w:cs="Times New Roman"/>
                <w:b w:val="0"/>
                <w:bCs w:val="0"/>
                <w:color w:val="FFFFFF" w:themeColor="background1"/>
                <w:szCs w:val="24"/>
              </w:rPr>
            </w:pPr>
            <w:r w:rsidRPr="00E2463C">
              <w:rPr>
                <w:rFonts w:ascii="Times New Roman" w:hAnsi="Times New Roman" w:cs="Times New Roman"/>
                <w:color w:val="FFFFFF" w:themeColor="background1"/>
                <w:szCs w:val="24"/>
              </w:rPr>
              <w:t>Revisión octubre 2020: Aspectos metodológicos del cálculo de la curva de rendimientos soberana en colones (DEC-DIE-032-2020)</w:t>
            </w:r>
          </w:p>
        </w:tc>
      </w:tr>
      <w:tr w:rsidR="00257907" w:rsidRPr="00257907" w14:paraId="605690C0" w14:textId="77777777" w:rsidTr="00E2463C">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shd w:val="clear" w:color="auto" w:fill="1F4E79" w:themeFill="accent1" w:themeFillShade="80"/>
            <w:vAlign w:val="center"/>
            <w:hideMark/>
          </w:tcPr>
          <w:p w14:paraId="6CF12BD8" w14:textId="77777777" w:rsidR="00257907" w:rsidRPr="00E2463C" w:rsidRDefault="00257907" w:rsidP="00257907">
            <w:pPr>
              <w:spacing w:after="0" w:line="240" w:lineRule="auto"/>
              <w:jc w:val="both"/>
              <w:rPr>
                <w:rFonts w:ascii="Times New Roman" w:hAnsi="Times New Roman" w:cs="Times New Roman"/>
                <w:b w:val="0"/>
                <w:bCs w:val="0"/>
                <w:color w:val="FFFFFF" w:themeColor="background1"/>
                <w:szCs w:val="24"/>
                <w:lang w:val="en-US"/>
              </w:rPr>
            </w:pPr>
            <w:proofErr w:type="spellStart"/>
            <w:r w:rsidRPr="00E2463C">
              <w:rPr>
                <w:rFonts w:ascii="Times New Roman" w:hAnsi="Times New Roman" w:cs="Times New Roman"/>
                <w:color w:val="FFFFFF" w:themeColor="background1"/>
                <w:szCs w:val="24"/>
                <w:lang w:val="en-US"/>
              </w:rPr>
              <w:t>Criterio</w:t>
            </w:r>
            <w:proofErr w:type="spellEnd"/>
            <w:r w:rsidRPr="00E2463C">
              <w:rPr>
                <w:rFonts w:ascii="Times New Roman" w:hAnsi="Times New Roman" w:cs="Times New Roman"/>
                <w:color w:val="FFFFFF" w:themeColor="background1"/>
                <w:szCs w:val="24"/>
                <w:lang w:val="en-US"/>
              </w:rPr>
              <w:t xml:space="preserve"> </w:t>
            </w:r>
            <w:proofErr w:type="spellStart"/>
            <w:r w:rsidRPr="00E2463C">
              <w:rPr>
                <w:rFonts w:ascii="Times New Roman" w:hAnsi="Times New Roman" w:cs="Times New Roman"/>
                <w:color w:val="FFFFFF" w:themeColor="background1"/>
                <w:szCs w:val="24"/>
                <w:lang w:val="en-US"/>
              </w:rPr>
              <w:t>sobre</w:t>
            </w:r>
            <w:proofErr w:type="spellEnd"/>
          </w:p>
        </w:tc>
        <w:tc>
          <w:tcPr>
            <w:tcW w:w="5613" w:type="dxa"/>
            <w:shd w:val="clear" w:color="auto" w:fill="1F4E79" w:themeFill="accent1" w:themeFillShade="80"/>
            <w:vAlign w:val="center"/>
            <w:hideMark/>
          </w:tcPr>
          <w:p w14:paraId="7B2BF4AD" w14:textId="77777777" w:rsidR="00257907" w:rsidRPr="00E2463C"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Cs w:val="24"/>
                <w:lang w:val="en-US"/>
              </w:rPr>
            </w:pPr>
            <w:proofErr w:type="spellStart"/>
            <w:r w:rsidRPr="00E2463C">
              <w:rPr>
                <w:rFonts w:ascii="Times New Roman" w:hAnsi="Times New Roman" w:cs="Times New Roman"/>
                <w:b/>
                <w:bCs/>
                <w:color w:val="FFFFFF" w:themeColor="background1"/>
                <w:szCs w:val="24"/>
                <w:lang w:val="en-US"/>
              </w:rPr>
              <w:t>Decisión</w:t>
            </w:r>
            <w:proofErr w:type="spellEnd"/>
          </w:p>
        </w:tc>
      </w:tr>
      <w:tr w:rsidR="00257907" w:rsidRPr="00257907" w14:paraId="63FC6215"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Align w:val="center"/>
          </w:tcPr>
          <w:p w14:paraId="73FBF1FC"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Modelo</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paramétrico</w:t>
            </w:r>
            <w:proofErr w:type="spellEnd"/>
          </w:p>
        </w:tc>
        <w:tc>
          <w:tcPr>
            <w:tcW w:w="5613" w:type="dxa"/>
            <w:vAlign w:val="center"/>
          </w:tcPr>
          <w:p w14:paraId="237F4164"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257907">
              <w:rPr>
                <w:rFonts w:ascii="Times New Roman" w:hAnsi="Times New Roman" w:cs="Times New Roman"/>
                <w:szCs w:val="24"/>
                <w:lang w:val="en-US"/>
              </w:rPr>
              <w:t xml:space="preserve">Nelson Siegel o </w:t>
            </w:r>
            <w:proofErr w:type="spellStart"/>
            <w:r w:rsidRPr="00257907">
              <w:rPr>
                <w:rFonts w:ascii="Times New Roman" w:hAnsi="Times New Roman" w:cs="Times New Roman"/>
                <w:szCs w:val="24"/>
                <w:lang w:val="en-US"/>
              </w:rPr>
              <w:t>Svensson</w:t>
            </w:r>
            <w:proofErr w:type="spellEnd"/>
          </w:p>
        </w:tc>
      </w:tr>
      <w:tr w:rsidR="00257907" w:rsidRPr="00257907" w14:paraId="048EA537"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644BA7C7"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 xml:space="preserve">Mercado </w:t>
            </w:r>
          </w:p>
        </w:tc>
        <w:tc>
          <w:tcPr>
            <w:tcW w:w="5613" w:type="dxa"/>
            <w:vAlign w:val="center"/>
            <w:hideMark/>
          </w:tcPr>
          <w:p w14:paraId="45706990"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roofErr w:type="spellStart"/>
            <w:r w:rsidRPr="00257907">
              <w:rPr>
                <w:rFonts w:ascii="Times New Roman" w:hAnsi="Times New Roman" w:cs="Times New Roman"/>
                <w:szCs w:val="24"/>
                <w:lang w:val="en-US"/>
              </w:rPr>
              <w:t>Primario</w:t>
            </w:r>
            <w:proofErr w:type="spellEnd"/>
            <w:r w:rsidRPr="00257907">
              <w:rPr>
                <w:rFonts w:ascii="Times New Roman" w:hAnsi="Times New Roman" w:cs="Times New Roman"/>
                <w:szCs w:val="24"/>
                <w:lang w:val="en-US"/>
              </w:rPr>
              <w:t xml:space="preserve"> y </w:t>
            </w:r>
            <w:proofErr w:type="spellStart"/>
            <w:r w:rsidRPr="00257907">
              <w:rPr>
                <w:rFonts w:ascii="Times New Roman" w:hAnsi="Times New Roman" w:cs="Times New Roman"/>
                <w:szCs w:val="24"/>
                <w:lang w:val="en-US"/>
              </w:rPr>
              <w:t>secundario</w:t>
            </w:r>
            <w:proofErr w:type="spellEnd"/>
          </w:p>
        </w:tc>
      </w:tr>
      <w:tr w:rsidR="00257907" w:rsidRPr="00257907" w14:paraId="07E91462"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6F64D1AB"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Emisores</w:t>
            </w:r>
          </w:p>
        </w:tc>
        <w:tc>
          <w:tcPr>
            <w:tcW w:w="5613" w:type="dxa"/>
            <w:vAlign w:val="center"/>
            <w:hideMark/>
          </w:tcPr>
          <w:p w14:paraId="09CC9126"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BCCR y MH</w:t>
            </w:r>
          </w:p>
        </w:tc>
      </w:tr>
      <w:tr w:rsidR="00257907" w:rsidRPr="00257907" w14:paraId="61B39CAF"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13BFA236"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Instrumentos</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incluidos</w:t>
            </w:r>
            <w:proofErr w:type="spellEnd"/>
          </w:p>
        </w:tc>
        <w:tc>
          <w:tcPr>
            <w:tcW w:w="5613" w:type="dxa"/>
            <w:vAlign w:val="center"/>
            <w:hideMark/>
          </w:tcPr>
          <w:p w14:paraId="39BEA458"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 xml:space="preserve">Estandarizados: tasa fija y </w:t>
            </w:r>
            <w:proofErr w:type="gramStart"/>
            <w:r w:rsidRPr="00257907">
              <w:rPr>
                <w:rFonts w:ascii="Times New Roman" w:hAnsi="Times New Roman" w:cs="Times New Roman"/>
                <w:szCs w:val="24"/>
              </w:rPr>
              <w:t>cero cupón</w:t>
            </w:r>
            <w:proofErr w:type="gramEnd"/>
          </w:p>
        </w:tc>
      </w:tr>
      <w:tr w:rsidR="00257907" w:rsidRPr="00257907" w14:paraId="261D559B"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428EC1D0"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Plazo</w:t>
            </w:r>
            <w:proofErr w:type="spellEnd"/>
          </w:p>
        </w:tc>
        <w:tc>
          <w:tcPr>
            <w:tcW w:w="5613" w:type="dxa"/>
            <w:vAlign w:val="center"/>
            <w:hideMark/>
          </w:tcPr>
          <w:p w14:paraId="79AE130A"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s-ES"/>
              </w:rPr>
            </w:pPr>
            <w:r w:rsidRPr="00257907">
              <w:rPr>
                <w:rFonts w:ascii="Times New Roman" w:hAnsi="Times New Roman" w:cs="Times New Roman"/>
                <w:szCs w:val="24"/>
                <w:lang w:val="es-ES"/>
              </w:rPr>
              <w:t>10 años</w:t>
            </w:r>
          </w:p>
        </w:tc>
      </w:tr>
      <w:tr w:rsidR="00257907" w:rsidRPr="00257907" w14:paraId="4F2FC909"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Merge w:val="restart"/>
            <w:vAlign w:val="center"/>
            <w:hideMark/>
          </w:tcPr>
          <w:p w14:paraId="4E69CF3C" w14:textId="77777777" w:rsidR="00257907" w:rsidRPr="00257907" w:rsidRDefault="00257907" w:rsidP="00257907">
            <w:pPr>
              <w:spacing w:after="0" w:line="240" w:lineRule="auto"/>
              <w:jc w:val="both"/>
              <w:rPr>
                <w:rFonts w:ascii="Times New Roman" w:hAnsi="Times New Roman" w:cs="Times New Roman"/>
                <w:szCs w:val="24"/>
                <w:lang w:val="en-US"/>
              </w:rPr>
            </w:pPr>
            <w:r w:rsidRPr="00257907">
              <w:rPr>
                <w:rFonts w:ascii="Times New Roman" w:hAnsi="Times New Roman" w:cs="Times New Roman"/>
                <w:szCs w:val="24"/>
                <w:lang w:val="en-US"/>
              </w:rPr>
              <w:t xml:space="preserve">Punto de </w:t>
            </w:r>
            <w:proofErr w:type="spellStart"/>
            <w:r w:rsidRPr="00257907">
              <w:rPr>
                <w:rFonts w:ascii="Times New Roman" w:hAnsi="Times New Roman" w:cs="Times New Roman"/>
                <w:szCs w:val="24"/>
                <w:lang w:val="en-US"/>
              </w:rPr>
              <w:t>inicio</w:t>
            </w:r>
            <w:proofErr w:type="spellEnd"/>
          </w:p>
        </w:tc>
        <w:tc>
          <w:tcPr>
            <w:tcW w:w="5613" w:type="dxa"/>
            <w:vMerge w:val="restart"/>
            <w:vAlign w:val="center"/>
            <w:hideMark/>
          </w:tcPr>
          <w:p w14:paraId="4C4005EA"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lang w:val="es-ES"/>
              </w:rPr>
              <w:t xml:space="preserve">Tasa de interés del </w:t>
            </w:r>
            <w:r w:rsidRPr="00257907">
              <w:rPr>
                <w:rFonts w:ascii="Times New Roman" w:hAnsi="Times New Roman" w:cs="Times New Roman"/>
                <w:szCs w:val="24"/>
              </w:rPr>
              <w:t>Mercado Integrado de Liquidez, negociaciones a un día, ponderadas por monto.</w:t>
            </w:r>
          </w:p>
        </w:tc>
      </w:tr>
      <w:tr w:rsidR="00257907" w:rsidRPr="00257907" w14:paraId="712F9299" w14:textId="77777777" w:rsidTr="00C452DA">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088" w:type="dxa"/>
            <w:vMerge/>
            <w:vAlign w:val="center"/>
            <w:hideMark/>
          </w:tcPr>
          <w:p w14:paraId="77402EBD" w14:textId="77777777" w:rsidR="00257907" w:rsidRPr="00257907" w:rsidRDefault="00257907" w:rsidP="00257907">
            <w:pPr>
              <w:spacing w:after="0" w:line="240" w:lineRule="auto"/>
              <w:jc w:val="both"/>
              <w:rPr>
                <w:rFonts w:ascii="Times New Roman" w:hAnsi="Times New Roman" w:cs="Times New Roman"/>
                <w:szCs w:val="24"/>
              </w:rPr>
            </w:pPr>
          </w:p>
        </w:tc>
        <w:tc>
          <w:tcPr>
            <w:tcW w:w="5613" w:type="dxa"/>
            <w:vMerge/>
            <w:vAlign w:val="center"/>
            <w:hideMark/>
          </w:tcPr>
          <w:p w14:paraId="744E0C02"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257907" w:rsidRPr="00257907" w14:paraId="43B36596" w14:textId="77777777" w:rsidTr="00C452DA">
        <w:trPr>
          <w:trHeight w:hRule="exact" w:val="1383"/>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4917EABF" w14:textId="77777777" w:rsidR="00257907" w:rsidRPr="00257907" w:rsidRDefault="00257907" w:rsidP="00257907">
            <w:pPr>
              <w:spacing w:after="0" w:line="240" w:lineRule="auto"/>
              <w:jc w:val="both"/>
              <w:rPr>
                <w:rFonts w:ascii="Times New Roman" w:hAnsi="Times New Roman" w:cs="Times New Roman"/>
                <w:szCs w:val="24"/>
              </w:rPr>
            </w:pPr>
            <w:r w:rsidRPr="00257907">
              <w:rPr>
                <w:rFonts w:ascii="Times New Roman" w:hAnsi="Times New Roman" w:cs="Times New Roman"/>
                <w:szCs w:val="24"/>
              </w:rPr>
              <w:t>Criterio de exclusión de observaciones</w:t>
            </w:r>
          </w:p>
        </w:tc>
        <w:tc>
          <w:tcPr>
            <w:tcW w:w="5613" w:type="dxa"/>
            <w:vAlign w:val="center"/>
            <w:hideMark/>
          </w:tcPr>
          <w:p w14:paraId="35958245"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 xml:space="preserve">1. Bonos </w:t>
            </w:r>
            <w:proofErr w:type="gramStart"/>
            <w:r w:rsidRPr="00257907">
              <w:rPr>
                <w:rFonts w:ascii="Times New Roman" w:hAnsi="Times New Roman" w:cs="Times New Roman"/>
                <w:szCs w:val="24"/>
              </w:rPr>
              <w:t>cero cupón</w:t>
            </w:r>
            <w:proofErr w:type="gramEnd"/>
            <w:r w:rsidRPr="00257907">
              <w:rPr>
                <w:rFonts w:ascii="Times New Roman" w:hAnsi="Times New Roman" w:cs="Times New Roman"/>
                <w:szCs w:val="24"/>
              </w:rPr>
              <w:t xml:space="preserve"> con menos de tres meses al vencimiento. 2. Bonos tasa fija con menos de seis meses al vencimiento. 3. Bonos tasa fija con más de diez años al vencimiento. 4</w:t>
            </w:r>
            <w:r w:rsidRPr="00257907">
              <w:rPr>
                <w:rFonts w:ascii="Times New Roman" w:hAnsi="Times New Roman" w:cs="Times New Roman"/>
                <w:szCs w:val="24"/>
                <w:lang w:val="es-ES"/>
              </w:rPr>
              <w:t>. Valores extremos, elegidos a partir de criterios estadísticos, previamente establecidos.</w:t>
            </w:r>
          </w:p>
        </w:tc>
      </w:tr>
      <w:tr w:rsidR="00257907" w:rsidRPr="00257907" w14:paraId="674153BC" w14:textId="77777777" w:rsidTr="00C452DA">
        <w:trPr>
          <w:trHeight w:hRule="exact" w:val="645"/>
          <w:jc w:val="center"/>
        </w:trPr>
        <w:tc>
          <w:tcPr>
            <w:cnfStyle w:val="001000000000" w:firstRow="0" w:lastRow="0" w:firstColumn="1" w:lastColumn="0" w:oddVBand="0" w:evenVBand="0" w:oddHBand="0" w:evenHBand="0" w:firstRowFirstColumn="0" w:firstRowLastColumn="0" w:lastRowFirstColumn="0" w:lastRowLastColumn="0"/>
            <w:tcW w:w="3088" w:type="dxa"/>
            <w:vAlign w:val="center"/>
            <w:hideMark/>
          </w:tcPr>
          <w:p w14:paraId="544D0122" w14:textId="77777777" w:rsidR="00257907" w:rsidRPr="00257907" w:rsidRDefault="00257907" w:rsidP="00257907">
            <w:pPr>
              <w:spacing w:after="0" w:line="240" w:lineRule="auto"/>
              <w:jc w:val="both"/>
              <w:rPr>
                <w:rFonts w:ascii="Times New Roman" w:hAnsi="Times New Roman" w:cs="Times New Roman"/>
                <w:szCs w:val="24"/>
                <w:lang w:val="en-US"/>
              </w:rPr>
            </w:pPr>
            <w:proofErr w:type="spellStart"/>
            <w:r w:rsidRPr="00257907">
              <w:rPr>
                <w:rFonts w:ascii="Times New Roman" w:hAnsi="Times New Roman" w:cs="Times New Roman"/>
                <w:szCs w:val="24"/>
                <w:lang w:val="en-US"/>
              </w:rPr>
              <w:t>Valores</w:t>
            </w:r>
            <w:proofErr w:type="spellEnd"/>
            <w:r w:rsidRPr="00257907">
              <w:rPr>
                <w:rFonts w:ascii="Times New Roman" w:hAnsi="Times New Roman" w:cs="Times New Roman"/>
                <w:szCs w:val="24"/>
                <w:lang w:val="en-US"/>
              </w:rPr>
              <w:t xml:space="preserve"> </w:t>
            </w:r>
            <w:proofErr w:type="spellStart"/>
            <w:r w:rsidRPr="00257907">
              <w:rPr>
                <w:rFonts w:ascii="Times New Roman" w:hAnsi="Times New Roman" w:cs="Times New Roman"/>
                <w:szCs w:val="24"/>
                <w:lang w:val="en-US"/>
              </w:rPr>
              <w:t>imputados</w:t>
            </w:r>
            <w:proofErr w:type="spellEnd"/>
          </w:p>
        </w:tc>
        <w:tc>
          <w:tcPr>
            <w:tcW w:w="5613" w:type="dxa"/>
            <w:hideMark/>
          </w:tcPr>
          <w:p w14:paraId="293166CB" w14:textId="77777777" w:rsidR="00257907" w:rsidRPr="00257907" w:rsidRDefault="00257907" w:rsidP="002579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57907">
              <w:rPr>
                <w:rFonts w:ascii="Times New Roman" w:hAnsi="Times New Roman" w:cs="Times New Roman"/>
                <w:szCs w:val="24"/>
              </w:rPr>
              <w:t>10 años con base en la información transaccional de las últimas 4 semanas.</w:t>
            </w:r>
          </w:p>
        </w:tc>
      </w:tr>
    </w:tbl>
    <w:p w14:paraId="503632E8" w14:textId="77777777" w:rsidR="00257907" w:rsidRPr="00257907" w:rsidRDefault="00257907" w:rsidP="00257907">
      <w:pPr>
        <w:pStyle w:val="Prrafodelista"/>
        <w:ind w:left="792"/>
        <w:jc w:val="both"/>
        <w:rPr>
          <w:rFonts w:ascii="Times New Roman" w:hAnsi="Times New Roman" w:cs="Times New Roman"/>
          <w:sz w:val="24"/>
          <w:szCs w:val="24"/>
          <w:lang w:eastAsia="es-CR"/>
        </w:rPr>
      </w:pPr>
    </w:p>
    <w:p w14:paraId="4A4BBF6E" w14:textId="6C0A2C2D"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3.</w:t>
      </w:r>
      <w:r w:rsidRPr="00257907">
        <w:rPr>
          <w:rFonts w:ascii="Times New Roman" w:hAnsi="Times New Roman" w:cs="Times New Roman"/>
          <w:sz w:val="24"/>
          <w:szCs w:val="24"/>
        </w:rPr>
        <w:tab/>
        <w:t xml:space="preserve">El cálculo de la curva de rendimientos soberana en colones, para su publicación en el sitio </w:t>
      </w:r>
      <w:r w:rsidR="00620969">
        <w:rPr>
          <w:rFonts w:ascii="Times New Roman" w:hAnsi="Times New Roman" w:cs="Times New Roman"/>
          <w:sz w:val="24"/>
          <w:szCs w:val="24"/>
        </w:rPr>
        <w:t>W</w:t>
      </w:r>
      <w:r w:rsidRPr="00257907">
        <w:rPr>
          <w:rFonts w:ascii="Times New Roman" w:hAnsi="Times New Roman" w:cs="Times New Roman"/>
          <w:sz w:val="24"/>
          <w:szCs w:val="24"/>
        </w:rPr>
        <w:t>eb del BCCR, se hará semanalmente. Se publicará los miércoles, con base en las negociaciones observadas durante la semana inmediata anterior, definida de miércoles a martes.</w:t>
      </w:r>
    </w:p>
    <w:p w14:paraId="56FBADEF" w14:textId="77777777" w:rsidR="00257907" w:rsidRPr="00257907" w:rsidRDefault="00257907" w:rsidP="00257907">
      <w:pPr>
        <w:pStyle w:val="Prrafodelista"/>
        <w:autoSpaceDE w:val="0"/>
        <w:autoSpaceDN w:val="0"/>
        <w:adjustRightInd w:val="0"/>
        <w:ind w:left="426" w:right="-234" w:hanging="426"/>
        <w:contextualSpacing/>
        <w:jc w:val="both"/>
        <w:rPr>
          <w:rFonts w:ascii="Times New Roman" w:hAnsi="Times New Roman" w:cs="Times New Roman"/>
          <w:sz w:val="24"/>
          <w:szCs w:val="24"/>
        </w:rPr>
      </w:pPr>
    </w:p>
    <w:p w14:paraId="104C94E6" w14:textId="5D4D9C4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4.</w:t>
      </w:r>
      <w:r w:rsidRPr="00257907">
        <w:rPr>
          <w:rFonts w:ascii="Times New Roman" w:hAnsi="Times New Roman" w:cs="Times New Roman"/>
          <w:sz w:val="24"/>
          <w:szCs w:val="24"/>
        </w:rPr>
        <w:tab/>
        <w:t>La aplicación de estos cambios rige a partir del segundo miércoles de diciembre de 2020.</w:t>
      </w:r>
    </w:p>
    <w:p w14:paraId="64F904AF"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p>
    <w:p w14:paraId="40359234"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5.</w:t>
      </w:r>
      <w:r w:rsidRPr="00257907">
        <w:rPr>
          <w:rFonts w:ascii="Times New Roman" w:hAnsi="Times New Roman" w:cs="Times New Roman"/>
          <w:sz w:val="24"/>
          <w:szCs w:val="24"/>
        </w:rPr>
        <w:tab/>
        <w:t>La Administración del Banco Central de Costa Rica vigilará que la metodología sea adecuada para la realidad del mercado financiero costarricense y en caso de identificarse situaciones que requieren ajustes metodológicos informará y propondrá a la Junta Directiva los cambios requeridos.</w:t>
      </w:r>
    </w:p>
    <w:p w14:paraId="6236AC8E"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p>
    <w:p w14:paraId="6686B15B"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6.</w:t>
      </w:r>
      <w:r w:rsidRPr="00257907">
        <w:rPr>
          <w:rFonts w:ascii="Times New Roman" w:hAnsi="Times New Roman" w:cs="Times New Roman"/>
          <w:sz w:val="24"/>
          <w:szCs w:val="24"/>
        </w:rPr>
        <w:tab/>
        <w:t>Instruir a la División de Servicios Tecnológicos y a la División Económica para que coordinen las tareas que se requieran con el fin de automatizar los cálculos necesarios para obtener la curva de rendimientos soberana en colones.</w:t>
      </w:r>
    </w:p>
    <w:p w14:paraId="584ECDDE"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p>
    <w:p w14:paraId="623CA75F"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r w:rsidRPr="00257907">
        <w:rPr>
          <w:rFonts w:ascii="Times New Roman" w:hAnsi="Times New Roman" w:cs="Times New Roman"/>
          <w:sz w:val="24"/>
          <w:szCs w:val="24"/>
        </w:rPr>
        <w:t>7.</w:t>
      </w:r>
      <w:r w:rsidRPr="00257907">
        <w:rPr>
          <w:rFonts w:ascii="Times New Roman" w:hAnsi="Times New Roman" w:cs="Times New Roman"/>
          <w:sz w:val="24"/>
          <w:szCs w:val="24"/>
        </w:rPr>
        <w:tab/>
        <w:t xml:space="preserve">Modificar el ordinal I de la </w:t>
      </w:r>
      <w:r w:rsidRPr="00257907">
        <w:rPr>
          <w:rFonts w:ascii="Times New Roman" w:hAnsi="Times New Roman" w:cs="Times New Roman"/>
          <w:b/>
          <w:bCs/>
          <w:i/>
          <w:iCs/>
          <w:sz w:val="24"/>
          <w:szCs w:val="24"/>
        </w:rPr>
        <w:t xml:space="preserve">“METODOLOGÍA PARA FIJAR LAS TASAS DE LAS OPERACIONES DE MERCADO ABIERTO” </w:t>
      </w:r>
      <w:r w:rsidRPr="00257907">
        <w:rPr>
          <w:rFonts w:ascii="Times New Roman" w:hAnsi="Times New Roman" w:cs="Times New Roman"/>
          <w:sz w:val="24"/>
          <w:szCs w:val="24"/>
        </w:rPr>
        <w:t>para que se lea de la siguiente forma:</w:t>
      </w:r>
    </w:p>
    <w:p w14:paraId="4BEDCCAA" w14:textId="77777777" w:rsidR="00257907" w:rsidRPr="00257907" w:rsidRDefault="00257907" w:rsidP="00257907">
      <w:pPr>
        <w:pStyle w:val="Prrafodelista"/>
        <w:autoSpaceDE w:val="0"/>
        <w:autoSpaceDN w:val="0"/>
        <w:adjustRightInd w:val="0"/>
        <w:ind w:left="426" w:right="-234" w:hanging="426"/>
        <w:jc w:val="both"/>
        <w:rPr>
          <w:rFonts w:ascii="Times New Roman" w:hAnsi="Times New Roman" w:cs="Times New Roman"/>
          <w:sz w:val="24"/>
          <w:szCs w:val="24"/>
        </w:rPr>
      </w:pPr>
    </w:p>
    <w:p w14:paraId="7CD177D6" w14:textId="77777777" w:rsidR="00257907" w:rsidRDefault="00257907" w:rsidP="00257907">
      <w:pPr>
        <w:pStyle w:val="Default"/>
        <w:ind w:left="360"/>
        <w:jc w:val="both"/>
        <w:rPr>
          <w:rFonts w:ascii="Times New Roman" w:hAnsi="Times New Roman" w:cs="Times New Roman"/>
          <w:i/>
          <w:iCs/>
        </w:rPr>
      </w:pPr>
      <w:r w:rsidRPr="00257907">
        <w:rPr>
          <w:rFonts w:ascii="Times New Roman" w:hAnsi="Times New Roman" w:cs="Times New Roman"/>
          <w:i/>
          <w:iCs/>
        </w:rPr>
        <w:t xml:space="preserve">“I.  Las tasas netas de captación de los pasivos con costo, de las operaciones en mercado secundario y de otros mecanismos de gestión de deuda del Banco Central de Costa Rica </w:t>
      </w:r>
      <w:r w:rsidRPr="00257907">
        <w:rPr>
          <w:rFonts w:ascii="Times New Roman" w:hAnsi="Times New Roman" w:cs="Times New Roman"/>
          <w:i/>
          <w:iCs/>
        </w:rPr>
        <w:lastRenderedPageBreak/>
        <w:t>a plazos de más de 90 días, se basarán en la actualización más reciente de la curva de rendimientos soberana que se calcula semanalmente.”</w:t>
      </w:r>
    </w:p>
    <w:p w14:paraId="6085BF05" w14:textId="77777777" w:rsidR="00257907" w:rsidRPr="00257907" w:rsidRDefault="00257907" w:rsidP="00257907">
      <w:pPr>
        <w:pStyle w:val="Default"/>
        <w:ind w:left="360"/>
        <w:jc w:val="both"/>
        <w:rPr>
          <w:rFonts w:ascii="Times New Roman" w:hAnsi="Times New Roman" w:cs="Times New Roman"/>
          <w:i/>
          <w:iCs/>
        </w:rPr>
      </w:pPr>
    </w:p>
    <w:p w14:paraId="059EDEB7" w14:textId="53AB55BE" w:rsidR="00F12F31" w:rsidRDefault="00F12F31" w:rsidP="00257907">
      <w:pPr>
        <w:widowControl w:val="0"/>
        <w:spacing w:after="0" w:line="240" w:lineRule="auto"/>
        <w:jc w:val="both"/>
        <w:rPr>
          <w:rFonts w:ascii="Times New Roman" w:eastAsia="Times New Roman" w:hAnsi="Times New Roman"/>
          <w:sz w:val="24"/>
          <w:szCs w:val="24"/>
          <w:lang w:eastAsia="es-ES"/>
        </w:rPr>
      </w:pPr>
      <w:r w:rsidRPr="00257907">
        <w:rPr>
          <w:rFonts w:ascii="Times New Roman" w:eastAsia="Times New Roman" w:hAnsi="Times New Roman"/>
          <w:sz w:val="24"/>
          <w:szCs w:val="24"/>
          <w:lang w:eastAsia="es-ES"/>
        </w:rPr>
        <w:t>Atentamente,</w:t>
      </w:r>
    </w:p>
    <w:p w14:paraId="67C6E0CF" w14:textId="77777777" w:rsidR="00257907" w:rsidRPr="00257907" w:rsidRDefault="00257907" w:rsidP="00257907">
      <w:pPr>
        <w:widowControl w:val="0"/>
        <w:spacing w:after="0" w:line="240" w:lineRule="auto"/>
        <w:jc w:val="both"/>
        <w:rPr>
          <w:rFonts w:ascii="Times New Roman" w:eastAsia="Times New Roman" w:hAnsi="Times New Roman"/>
          <w:sz w:val="24"/>
          <w:szCs w:val="24"/>
          <w:lang w:eastAsia="es-ES"/>
        </w:rPr>
      </w:pPr>
    </w:p>
    <w:p w14:paraId="3AD2C283" w14:textId="47AE762B" w:rsidR="00F12F31" w:rsidRPr="00257907" w:rsidRDefault="00B448B1" w:rsidP="00257907">
      <w:pPr>
        <w:widowControl w:val="0"/>
        <w:spacing w:after="0" w:line="240" w:lineRule="auto"/>
        <w:jc w:val="both"/>
        <w:rPr>
          <w:rFonts w:ascii="Times New Roman" w:eastAsia="Times New Roman" w:hAnsi="Times New Roman"/>
          <w:sz w:val="24"/>
          <w:szCs w:val="24"/>
          <w:lang w:eastAsia="es-ES"/>
        </w:rPr>
      </w:pPr>
      <w:r w:rsidRPr="00257907">
        <w:rPr>
          <w:rFonts w:ascii="Times New Roman" w:hAnsi="Times New Roman"/>
          <w:noProof/>
          <w:sz w:val="24"/>
          <w:szCs w:val="24"/>
          <w:lang w:eastAsia="es-CR"/>
        </w:rPr>
        <w:drawing>
          <wp:inline distT="0" distB="0" distL="0" distR="0" wp14:anchorId="19BC3226" wp14:editId="595FB4F8">
            <wp:extent cx="2425065" cy="397510"/>
            <wp:effectExtent l="0" t="0" r="0" b="2540"/>
            <wp:docPr id="1" name="Imagen 1" descr="F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g"/>
                    <pic:cNvPicPr>
                      <a:picLocks noChangeAspect="1" noChangeArrowheads="1"/>
                    </pic:cNvPicPr>
                  </pic:nvPicPr>
                  <pic:blipFill>
                    <a:blip r:embed="rId12" cstate="print">
                      <a:extLst>
                        <a:ext uri="{28A0092B-C50C-407E-A947-70E740481C1C}">
                          <a14:useLocalDpi xmlns:a14="http://schemas.microsoft.com/office/drawing/2010/main" val="0"/>
                        </a:ext>
                      </a:extLst>
                    </a:blip>
                    <a:srcRect l="5225"/>
                    <a:stretch>
                      <a:fillRect/>
                    </a:stretch>
                  </pic:blipFill>
                  <pic:spPr bwMode="auto">
                    <a:xfrm>
                      <a:off x="0" y="0"/>
                      <a:ext cx="2425065" cy="397510"/>
                    </a:xfrm>
                    <a:prstGeom prst="rect">
                      <a:avLst/>
                    </a:prstGeom>
                    <a:noFill/>
                    <a:ln>
                      <a:noFill/>
                    </a:ln>
                  </pic:spPr>
                </pic:pic>
              </a:graphicData>
            </a:graphic>
          </wp:inline>
        </w:drawing>
      </w:r>
    </w:p>
    <w:p w14:paraId="427CDFA0" w14:textId="77777777" w:rsidR="00F12F31" w:rsidRPr="00257907" w:rsidRDefault="00F12F31" w:rsidP="00257907">
      <w:pPr>
        <w:widowControl w:val="0"/>
        <w:spacing w:after="0" w:line="240" w:lineRule="auto"/>
        <w:ind w:left="567" w:hanging="567"/>
        <w:jc w:val="both"/>
        <w:rPr>
          <w:rFonts w:ascii="Times New Roman" w:eastAsia="Times New Roman" w:hAnsi="Times New Roman"/>
          <w:sz w:val="24"/>
          <w:szCs w:val="24"/>
          <w:lang w:eastAsia="es-ES"/>
        </w:rPr>
      </w:pPr>
      <w:r w:rsidRPr="00257907">
        <w:rPr>
          <w:rFonts w:ascii="Times New Roman" w:eastAsia="Times New Roman" w:hAnsi="Times New Roman"/>
          <w:sz w:val="24"/>
          <w:szCs w:val="24"/>
          <w:lang w:eastAsia="es-ES"/>
        </w:rPr>
        <w:t>Jorge Monge Bonilla</w:t>
      </w:r>
    </w:p>
    <w:p w14:paraId="4B9BD444" w14:textId="77777777" w:rsidR="00F12F31" w:rsidRPr="00257907" w:rsidRDefault="00F12F31" w:rsidP="00257907">
      <w:pPr>
        <w:widowControl w:val="0"/>
        <w:spacing w:after="0" w:line="240" w:lineRule="auto"/>
        <w:ind w:left="567" w:hanging="567"/>
        <w:jc w:val="both"/>
        <w:rPr>
          <w:rFonts w:ascii="Times New Roman" w:eastAsia="Times New Roman" w:hAnsi="Times New Roman"/>
          <w:b/>
          <w:i/>
          <w:sz w:val="24"/>
          <w:szCs w:val="24"/>
          <w:lang w:eastAsia="es-ES"/>
        </w:rPr>
      </w:pPr>
      <w:r w:rsidRPr="00257907">
        <w:rPr>
          <w:rFonts w:ascii="Times New Roman" w:eastAsia="Times New Roman" w:hAnsi="Times New Roman"/>
          <w:b/>
          <w:i/>
          <w:sz w:val="24"/>
          <w:szCs w:val="24"/>
          <w:lang w:eastAsia="es-ES"/>
        </w:rPr>
        <w:t>Secretario General</w:t>
      </w:r>
    </w:p>
    <w:p w14:paraId="342B180F"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7446CBBE"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5B031F20"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21CDE612"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72FFF30A"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601BB0CE"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p w14:paraId="215AB783" w14:textId="77777777" w:rsidR="00F12F31" w:rsidRPr="00257907" w:rsidRDefault="00F12F31" w:rsidP="00257907">
      <w:pPr>
        <w:widowControl w:val="0"/>
        <w:spacing w:after="0" w:line="240" w:lineRule="auto"/>
        <w:jc w:val="both"/>
        <w:rPr>
          <w:rFonts w:ascii="Times New Roman" w:eastAsia="Times New Roman" w:hAnsi="Times New Roman"/>
          <w:sz w:val="24"/>
          <w:szCs w:val="24"/>
          <w:lang w:eastAsia="es-ES"/>
        </w:rPr>
      </w:pPr>
    </w:p>
    <w:sectPr w:rsidR="00F12F31" w:rsidRPr="00257907">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2AEAD" w14:textId="77777777" w:rsidR="00537530" w:rsidRDefault="00537530" w:rsidP="00410349">
      <w:pPr>
        <w:spacing w:after="0" w:line="240" w:lineRule="auto"/>
      </w:pPr>
      <w:r>
        <w:separator/>
      </w:r>
    </w:p>
  </w:endnote>
  <w:endnote w:type="continuationSeparator" w:id="0">
    <w:p w14:paraId="3EA0A9E5" w14:textId="77777777" w:rsidR="00537530" w:rsidRDefault="00537530" w:rsidP="0041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08B5" w14:textId="77777777" w:rsidR="00326B0D" w:rsidRDefault="00326B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9109" w14:textId="77777777" w:rsidR="00326B0D" w:rsidRDefault="00326B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EB10" w14:textId="77777777" w:rsidR="00326B0D" w:rsidRDefault="00326B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1D30" w14:textId="77777777" w:rsidR="00537530" w:rsidRDefault="00537530" w:rsidP="00410349">
      <w:pPr>
        <w:spacing w:after="0" w:line="240" w:lineRule="auto"/>
      </w:pPr>
      <w:r>
        <w:separator/>
      </w:r>
    </w:p>
  </w:footnote>
  <w:footnote w:type="continuationSeparator" w:id="0">
    <w:p w14:paraId="179E1D9C" w14:textId="77777777" w:rsidR="00537530" w:rsidRDefault="00537530" w:rsidP="00410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06E5" w14:textId="77777777" w:rsidR="00326B0D" w:rsidRDefault="00326B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806D" w14:textId="3DD03B40" w:rsidR="00410349" w:rsidRPr="00410349" w:rsidRDefault="00B448B1" w:rsidP="00410349">
    <w:pPr>
      <w:tabs>
        <w:tab w:val="center" w:pos="4419"/>
        <w:tab w:val="right" w:pos="8838"/>
      </w:tabs>
      <w:spacing w:before="120" w:after="120" w:line="240" w:lineRule="auto"/>
      <w:jc w:val="both"/>
      <w:rPr>
        <w:rFonts w:ascii="Times New Roman" w:eastAsia="Times New Roman" w:hAnsi="Times New Roman"/>
        <w:sz w:val="24"/>
        <w:szCs w:val="20"/>
        <w:lang w:eastAsia="es-ES"/>
      </w:rPr>
    </w:pPr>
    <w:r>
      <w:rPr>
        <w:rFonts w:ascii="Times New Roman" w:eastAsia="Times New Roman" w:hAnsi="Times New Roman"/>
        <w:noProof/>
        <w:sz w:val="24"/>
        <w:szCs w:val="20"/>
        <w:lang w:eastAsia="es-CR"/>
      </w:rPr>
      <w:drawing>
        <wp:anchor distT="0" distB="0" distL="114300" distR="114300" simplePos="0" relativeHeight="251657728" behindDoc="0" locked="0" layoutInCell="1" allowOverlap="1" wp14:anchorId="74C6E6C3" wp14:editId="30516659">
          <wp:simplePos x="0" y="0"/>
          <wp:positionH relativeFrom="column">
            <wp:posOffset>-12700</wp:posOffset>
          </wp:positionH>
          <wp:positionV relativeFrom="paragraph">
            <wp:posOffset>212090</wp:posOffset>
          </wp:positionV>
          <wp:extent cx="5469255" cy="41402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255" cy="414020"/>
                  </a:xfrm>
                  <a:prstGeom prst="rect">
                    <a:avLst/>
                  </a:prstGeom>
                  <a:noFill/>
                </pic:spPr>
              </pic:pic>
            </a:graphicData>
          </a:graphic>
          <wp14:sizeRelH relativeFrom="page">
            <wp14:pctWidth>0</wp14:pctWidth>
          </wp14:sizeRelH>
          <wp14:sizeRelV relativeFrom="page">
            <wp14:pctHeight>0</wp14:pctHeight>
          </wp14:sizeRelV>
        </wp:anchor>
      </w:drawing>
    </w:r>
  </w:p>
  <w:p w14:paraId="0F6CC4F2" w14:textId="77777777" w:rsidR="00410349" w:rsidRDefault="004103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AD5C" w14:textId="77777777" w:rsidR="00326B0D" w:rsidRDefault="00326B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8CF"/>
    <w:multiLevelType w:val="hybridMultilevel"/>
    <w:tmpl w:val="EE28FD8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8EE093B"/>
    <w:multiLevelType w:val="hybridMultilevel"/>
    <w:tmpl w:val="997CCFB6"/>
    <w:lvl w:ilvl="0" w:tplc="4FEC93EE">
      <w:start w:val="1"/>
      <w:numFmt w:val="lowerRoman"/>
      <w:lvlText w:val="%1."/>
      <w:lvlJc w:val="left"/>
      <w:pPr>
        <w:ind w:left="1710" w:hanging="720"/>
      </w:pPr>
      <w:rPr>
        <w:rFonts w:hint="default"/>
      </w:rPr>
    </w:lvl>
    <w:lvl w:ilvl="1" w:tplc="140A0019" w:tentative="1">
      <w:start w:val="1"/>
      <w:numFmt w:val="lowerLetter"/>
      <w:lvlText w:val="%2."/>
      <w:lvlJc w:val="left"/>
      <w:pPr>
        <w:ind w:left="2070" w:hanging="360"/>
      </w:pPr>
    </w:lvl>
    <w:lvl w:ilvl="2" w:tplc="140A001B" w:tentative="1">
      <w:start w:val="1"/>
      <w:numFmt w:val="lowerRoman"/>
      <w:lvlText w:val="%3."/>
      <w:lvlJc w:val="right"/>
      <w:pPr>
        <w:ind w:left="2790" w:hanging="180"/>
      </w:pPr>
    </w:lvl>
    <w:lvl w:ilvl="3" w:tplc="140A000F" w:tentative="1">
      <w:start w:val="1"/>
      <w:numFmt w:val="decimal"/>
      <w:lvlText w:val="%4."/>
      <w:lvlJc w:val="left"/>
      <w:pPr>
        <w:ind w:left="3510" w:hanging="360"/>
      </w:pPr>
    </w:lvl>
    <w:lvl w:ilvl="4" w:tplc="140A0019" w:tentative="1">
      <w:start w:val="1"/>
      <w:numFmt w:val="lowerLetter"/>
      <w:lvlText w:val="%5."/>
      <w:lvlJc w:val="left"/>
      <w:pPr>
        <w:ind w:left="4230" w:hanging="360"/>
      </w:pPr>
    </w:lvl>
    <w:lvl w:ilvl="5" w:tplc="140A001B" w:tentative="1">
      <w:start w:val="1"/>
      <w:numFmt w:val="lowerRoman"/>
      <w:lvlText w:val="%6."/>
      <w:lvlJc w:val="right"/>
      <w:pPr>
        <w:ind w:left="4950" w:hanging="180"/>
      </w:pPr>
    </w:lvl>
    <w:lvl w:ilvl="6" w:tplc="140A000F" w:tentative="1">
      <w:start w:val="1"/>
      <w:numFmt w:val="decimal"/>
      <w:lvlText w:val="%7."/>
      <w:lvlJc w:val="left"/>
      <w:pPr>
        <w:ind w:left="5670" w:hanging="360"/>
      </w:pPr>
    </w:lvl>
    <w:lvl w:ilvl="7" w:tplc="140A0019" w:tentative="1">
      <w:start w:val="1"/>
      <w:numFmt w:val="lowerLetter"/>
      <w:lvlText w:val="%8."/>
      <w:lvlJc w:val="left"/>
      <w:pPr>
        <w:ind w:left="6390" w:hanging="360"/>
      </w:pPr>
    </w:lvl>
    <w:lvl w:ilvl="8" w:tplc="140A001B" w:tentative="1">
      <w:start w:val="1"/>
      <w:numFmt w:val="lowerRoman"/>
      <w:lvlText w:val="%9."/>
      <w:lvlJc w:val="right"/>
      <w:pPr>
        <w:ind w:left="7110" w:hanging="180"/>
      </w:pPr>
    </w:lvl>
  </w:abstractNum>
  <w:abstractNum w:abstractNumId="2" w15:restartNumberingAfterBreak="0">
    <w:nsid w:val="22252D9C"/>
    <w:multiLevelType w:val="hybridMultilevel"/>
    <w:tmpl w:val="7D102DB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9596DC0"/>
    <w:multiLevelType w:val="hybridMultilevel"/>
    <w:tmpl w:val="CF103730"/>
    <w:lvl w:ilvl="0" w:tplc="E2BE257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B5B61DE"/>
    <w:multiLevelType w:val="hybridMultilevel"/>
    <w:tmpl w:val="85EAFE2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2D8134D"/>
    <w:multiLevelType w:val="hybridMultilevel"/>
    <w:tmpl w:val="C9425D32"/>
    <w:lvl w:ilvl="0" w:tplc="A70A93C0">
      <w:start w:val="3"/>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37115BB"/>
    <w:multiLevelType w:val="hybridMultilevel"/>
    <w:tmpl w:val="EA74FE4C"/>
    <w:lvl w:ilvl="0" w:tplc="5A18D892">
      <w:start w:val="1"/>
      <w:numFmt w:val="lowerLetter"/>
      <w:lvlText w:val="%1."/>
      <w:lvlJc w:val="left"/>
      <w:pPr>
        <w:ind w:left="1137" w:hanging="57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7" w15:restartNumberingAfterBreak="0">
    <w:nsid w:val="5CA15A33"/>
    <w:multiLevelType w:val="hybridMultilevel"/>
    <w:tmpl w:val="113CAD00"/>
    <w:lvl w:ilvl="0" w:tplc="E09671FA">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8" w15:restartNumberingAfterBreak="0">
    <w:nsid w:val="636730E6"/>
    <w:multiLevelType w:val="hybridMultilevel"/>
    <w:tmpl w:val="2C78463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DDD7E57"/>
    <w:multiLevelType w:val="hybridMultilevel"/>
    <w:tmpl w:val="4DB8DA48"/>
    <w:lvl w:ilvl="0" w:tplc="140A0001">
      <w:start w:val="1"/>
      <w:numFmt w:val="bullet"/>
      <w:lvlText w:val=""/>
      <w:lvlJc w:val="left"/>
      <w:pPr>
        <w:ind w:left="1068" w:hanging="360"/>
      </w:pPr>
      <w:rPr>
        <w:rFonts w:ascii="Symbol" w:hAnsi="Symbol"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0"/>
  </w:num>
  <w:num w:numId="2">
    <w:abstractNumId w:val="8"/>
  </w:num>
  <w:num w:numId="3">
    <w:abstractNumId w:val="3"/>
  </w:num>
  <w:num w:numId="4">
    <w:abstractNumId w:val="5"/>
  </w:num>
  <w:num w:numId="5">
    <w:abstractNumId w:val="4"/>
  </w:num>
  <w:num w:numId="6">
    <w:abstractNumId w:val="6"/>
  </w:num>
  <w:num w:numId="7">
    <w:abstractNumId w:val="7"/>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39"/>
    <w:rsid w:val="00026AC9"/>
    <w:rsid w:val="00034938"/>
    <w:rsid w:val="000363A0"/>
    <w:rsid w:val="00037D80"/>
    <w:rsid w:val="00042F73"/>
    <w:rsid w:val="00044CAD"/>
    <w:rsid w:val="00045D91"/>
    <w:rsid w:val="00050446"/>
    <w:rsid w:val="0006616F"/>
    <w:rsid w:val="000904EE"/>
    <w:rsid w:val="00097A9D"/>
    <w:rsid w:val="000B72BE"/>
    <w:rsid w:val="000B74F0"/>
    <w:rsid w:val="000C32C0"/>
    <w:rsid w:val="000C5B49"/>
    <w:rsid w:val="000C7A4E"/>
    <w:rsid w:val="000E0C57"/>
    <w:rsid w:val="000F633D"/>
    <w:rsid w:val="00114B39"/>
    <w:rsid w:val="001305E8"/>
    <w:rsid w:val="00157F99"/>
    <w:rsid w:val="00161D86"/>
    <w:rsid w:val="00164B51"/>
    <w:rsid w:val="00165F1B"/>
    <w:rsid w:val="001730C2"/>
    <w:rsid w:val="001735E3"/>
    <w:rsid w:val="00173BED"/>
    <w:rsid w:val="00187E54"/>
    <w:rsid w:val="0019193F"/>
    <w:rsid w:val="001928B9"/>
    <w:rsid w:val="00192D26"/>
    <w:rsid w:val="00193074"/>
    <w:rsid w:val="00195473"/>
    <w:rsid w:val="001A0983"/>
    <w:rsid w:val="001A5663"/>
    <w:rsid w:val="001B6289"/>
    <w:rsid w:val="001C2FB5"/>
    <w:rsid w:val="001C3D73"/>
    <w:rsid w:val="001C5600"/>
    <w:rsid w:val="00201FC7"/>
    <w:rsid w:val="00211397"/>
    <w:rsid w:val="002131E7"/>
    <w:rsid w:val="002353DF"/>
    <w:rsid w:val="002416EE"/>
    <w:rsid w:val="00257907"/>
    <w:rsid w:val="0026586D"/>
    <w:rsid w:val="00282C6C"/>
    <w:rsid w:val="00284404"/>
    <w:rsid w:val="00285FCC"/>
    <w:rsid w:val="00290DE0"/>
    <w:rsid w:val="002C431F"/>
    <w:rsid w:val="002D3EA3"/>
    <w:rsid w:val="002D6305"/>
    <w:rsid w:val="002E12D6"/>
    <w:rsid w:val="00306B70"/>
    <w:rsid w:val="003103CB"/>
    <w:rsid w:val="00326B0D"/>
    <w:rsid w:val="00335BAB"/>
    <w:rsid w:val="0034473A"/>
    <w:rsid w:val="00347B0F"/>
    <w:rsid w:val="0035080F"/>
    <w:rsid w:val="003613A8"/>
    <w:rsid w:val="00361EDB"/>
    <w:rsid w:val="00362858"/>
    <w:rsid w:val="00385AA4"/>
    <w:rsid w:val="003C59C7"/>
    <w:rsid w:val="003E3321"/>
    <w:rsid w:val="003F6A55"/>
    <w:rsid w:val="003F7CCB"/>
    <w:rsid w:val="00401FB8"/>
    <w:rsid w:val="00403383"/>
    <w:rsid w:val="0041021B"/>
    <w:rsid w:val="00410349"/>
    <w:rsid w:val="00417D43"/>
    <w:rsid w:val="00424C9F"/>
    <w:rsid w:val="00426202"/>
    <w:rsid w:val="00435F92"/>
    <w:rsid w:val="00436D06"/>
    <w:rsid w:val="00443BC0"/>
    <w:rsid w:val="00444BD6"/>
    <w:rsid w:val="00451D05"/>
    <w:rsid w:val="00455839"/>
    <w:rsid w:val="00470A48"/>
    <w:rsid w:val="004A66E3"/>
    <w:rsid w:val="004C08F5"/>
    <w:rsid w:val="004D2479"/>
    <w:rsid w:val="004D4F1D"/>
    <w:rsid w:val="004F6A3E"/>
    <w:rsid w:val="00501AF5"/>
    <w:rsid w:val="00502E2B"/>
    <w:rsid w:val="00526287"/>
    <w:rsid w:val="0053493C"/>
    <w:rsid w:val="00537530"/>
    <w:rsid w:val="005574BD"/>
    <w:rsid w:val="00587596"/>
    <w:rsid w:val="00592EE5"/>
    <w:rsid w:val="005931CF"/>
    <w:rsid w:val="00595A23"/>
    <w:rsid w:val="005A0811"/>
    <w:rsid w:val="005B2575"/>
    <w:rsid w:val="005C40C3"/>
    <w:rsid w:val="005C5367"/>
    <w:rsid w:val="005C6B2E"/>
    <w:rsid w:val="005D1A3A"/>
    <w:rsid w:val="005E4EEC"/>
    <w:rsid w:val="005F3A76"/>
    <w:rsid w:val="005F4271"/>
    <w:rsid w:val="005F6E0E"/>
    <w:rsid w:val="005F70DB"/>
    <w:rsid w:val="006053C3"/>
    <w:rsid w:val="00613149"/>
    <w:rsid w:val="00620969"/>
    <w:rsid w:val="00630240"/>
    <w:rsid w:val="00660341"/>
    <w:rsid w:val="00671A39"/>
    <w:rsid w:val="00671A47"/>
    <w:rsid w:val="00685833"/>
    <w:rsid w:val="00686F49"/>
    <w:rsid w:val="00691B8C"/>
    <w:rsid w:val="00697435"/>
    <w:rsid w:val="006C698E"/>
    <w:rsid w:val="006D0FFA"/>
    <w:rsid w:val="00701BB7"/>
    <w:rsid w:val="007037FC"/>
    <w:rsid w:val="0071123B"/>
    <w:rsid w:val="00721A3A"/>
    <w:rsid w:val="00722B20"/>
    <w:rsid w:val="00724D2D"/>
    <w:rsid w:val="00736E98"/>
    <w:rsid w:val="00751BF6"/>
    <w:rsid w:val="00761F98"/>
    <w:rsid w:val="0077278B"/>
    <w:rsid w:val="00783563"/>
    <w:rsid w:val="00791934"/>
    <w:rsid w:val="007971F2"/>
    <w:rsid w:val="00797BD9"/>
    <w:rsid w:val="007B116C"/>
    <w:rsid w:val="007B4879"/>
    <w:rsid w:val="007C07AF"/>
    <w:rsid w:val="007C36A7"/>
    <w:rsid w:val="007F414F"/>
    <w:rsid w:val="007F6941"/>
    <w:rsid w:val="007F69BC"/>
    <w:rsid w:val="008203F8"/>
    <w:rsid w:val="008219C6"/>
    <w:rsid w:val="00822423"/>
    <w:rsid w:val="00824EA2"/>
    <w:rsid w:val="00827358"/>
    <w:rsid w:val="0083189D"/>
    <w:rsid w:val="00836454"/>
    <w:rsid w:val="00844462"/>
    <w:rsid w:val="00844C3F"/>
    <w:rsid w:val="00846DD2"/>
    <w:rsid w:val="00864726"/>
    <w:rsid w:val="00867A3E"/>
    <w:rsid w:val="00876797"/>
    <w:rsid w:val="00876AE2"/>
    <w:rsid w:val="00881EC2"/>
    <w:rsid w:val="00893F8A"/>
    <w:rsid w:val="00896719"/>
    <w:rsid w:val="008B5D58"/>
    <w:rsid w:val="008C08B9"/>
    <w:rsid w:val="008C4E54"/>
    <w:rsid w:val="008D2606"/>
    <w:rsid w:val="008D2668"/>
    <w:rsid w:val="008E552A"/>
    <w:rsid w:val="008F000B"/>
    <w:rsid w:val="008F493B"/>
    <w:rsid w:val="00907C37"/>
    <w:rsid w:val="0092571C"/>
    <w:rsid w:val="00927237"/>
    <w:rsid w:val="00950CF7"/>
    <w:rsid w:val="009760C6"/>
    <w:rsid w:val="00984398"/>
    <w:rsid w:val="009C1054"/>
    <w:rsid w:val="009D28D7"/>
    <w:rsid w:val="009E51AA"/>
    <w:rsid w:val="009E5E2B"/>
    <w:rsid w:val="009E666E"/>
    <w:rsid w:val="009F1840"/>
    <w:rsid w:val="00A009AF"/>
    <w:rsid w:val="00A10137"/>
    <w:rsid w:val="00A12B3E"/>
    <w:rsid w:val="00A26F4E"/>
    <w:rsid w:val="00A43FA8"/>
    <w:rsid w:val="00A66A58"/>
    <w:rsid w:val="00A70765"/>
    <w:rsid w:val="00A71923"/>
    <w:rsid w:val="00A81C4A"/>
    <w:rsid w:val="00A96542"/>
    <w:rsid w:val="00AA6875"/>
    <w:rsid w:val="00AB3677"/>
    <w:rsid w:val="00AD25DA"/>
    <w:rsid w:val="00AE0A28"/>
    <w:rsid w:val="00AE5D7C"/>
    <w:rsid w:val="00AF0249"/>
    <w:rsid w:val="00B11D6E"/>
    <w:rsid w:val="00B12188"/>
    <w:rsid w:val="00B15266"/>
    <w:rsid w:val="00B15CF6"/>
    <w:rsid w:val="00B20772"/>
    <w:rsid w:val="00B24067"/>
    <w:rsid w:val="00B41D78"/>
    <w:rsid w:val="00B4307E"/>
    <w:rsid w:val="00B43D0C"/>
    <w:rsid w:val="00B448B1"/>
    <w:rsid w:val="00B475D3"/>
    <w:rsid w:val="00B540C9"/>
    <w:rsid w:val="00B577B3"/>
    <w:rsid w:val="00B61595"/>
    <w:rsid w:val="00B73CE4"/>
    <w:rsid w:val="00B84A99"/>
    <w:rsid w:val="00B86A84"/>
    <w:rsid w:val="00B8721A"/>
    <w:rsid w:val="00B91738"/>
    <w:rsid w:val="00B968F0"/>
    <w:rsid w:val="00BA5993"/>
    <w:rsid w:val="00BB6FE0"/>
    <w:rsid w:val="00BB70FB"/>
    <w:rsid w:val="00BC18A6"/>
    <w:rsid w:val="00BC4ED3"/>
    <w:rsid w:val="00BE3517"/>
    <w:rsid w:val="00BE65AE"/>
    <w:rsid w:val="00BF0E80"/>
    <w:rsid w:val="00BF118C"/>
    <w:rsid w:val="00C0277B"/>
    <w:rsid w:val="00C06D68"/>
    <w:rsid w:val="00C12F6F"/>
    <w:rsid w:val="00C1306C"/>
    <w:rsid w:val="00C300EF"/>
    <w:rsid w:val="00C3236E"/>
    <w:rsid w:val="00C33122"/>
    <w:rsid w:val="00C575C8"/>
    <w:rsid w:val="00C6764A"/>
    <w:rsid w:val="00C676B0"/>
    <w:rsid w:val="00CA4756"/>
    <w:rsid w:val="00CB6DE5"/>
    <w:rsid w:val="00CD75B9"/>
    <w:rsid w:val="00CD7F7F"/>
    <w:rsid w:val="00CE11F1"/>
    <w:rsid w:val="00D25DD7"/>
    <w:rsid w:val="00D3010C"/>
    <w:rsid w:val="00D326C1"/>
    <w:rsid w:val="00D7570F"/>
    <w:rsid w:val="00D93C48"/>
    <w:rsid w:val="00DA2E63"/>
    <w:rsid w:val="00DB3B32"/>
    <w:rsid w:val="00DB73AA"/>
    <w:rsid w:val="00DF42C9"/>
    <w:rsid w:val="00E22D82"/>
    <w:rsid w:val="00E2463C"/>
    <w:rsid w:val="00E43C90"/>
    <w:rsid w:val="00E449F2"/>
    <w:rsid w:val="00E45830"/>
    <w:rsid w:val="00E67A89"/>
    <w:rsid w:val="00E80BA4"/>
    <w:rsid w:val="00E93CC5"/>
    <w:rsid w:val="00EA53AF"/>
    <w:rsid w:val="00EB11F9"/>
    <w:rsid w:val="00EC12F4"/>
    <w:rsid w:val="00EE7DBB"/>
    <w:rsid w:val="00EF79B7"/>
    <w:rsid w:val="00F0711E"/>
    <w:rsid w:val="00F12F31"/>
    <w:rsid w:val="00F16FBD"/>
    <w:rsid w:val="00F2045F"/>
    <w:rsid w:val="00F20FE9"/>
    <w:rsid w:val="00F22A0E"/>
    <w:rsid w:val="00F54491"/>
    <w:rsid w:val="00F654D9"/>
    <w:rsid w:val="00F73F49"/>
    <w:rsid w:val="00F93E3F"/>
    <w:rsid w:val="00F9575F"/>
    <w:rsid w:val="00FA2AD3"/>
    <w:rsid w:val="00FB6E4C"/>
    <w:rsid w:val="00FB714B"/>
    <w:rsid w:val="00FC1953"/>
    <w:rsid w:val="00FE477E"/>
    <w:rsid w:val="00FF02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75094"/>
  <w15:chartTrackingRefBased/>
  <w15:docId w15:val="{3661D275-E2F6-4D03-AA43-A997837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1A3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846DD2"/>
    <w:pPr>
      <w:framePr w:w="7920" w:h="1980" w:hRule="exact" w:hSpace="141" w:wrap="auto" w:hAnchor="page" w:xAlign="center" w:yAlign="bottom"/>
      <w:spacing w:after="0" w:line="240" w:lineRule="auto"/>
      <w:ind w:left="2880"/>
    </w:pPr>
    <w:rPr>
      <w:rFonts w:ascii="Cambria" w:eastAsia="Times New Roman" w:hAnsi="Cambria"/>
      <w:kern w:val="24"/>
      <w:sz w:val="24"/>
      <w:szCs w:val="24"/>
    </w:rPr>
  </w:style>
  <w:style w:type="paragraph" w:styleId="Sinespaciado">
    <w:name w:val="No Spacing"/>
    <w:link w:val="SinespaciadoCar"/>
    <w:uiPriority w:val="1"/>
    <w:qFormat/>
    <w:rsid w:val="00671A39"/>
    <w:rPr>
      <w:sz w:val="22"/>
      <w:szCs w:val="22"/>
      <w:lang w:eastAsia="en-US"/>
    </w:rPr>
  </w:style>
  <w:style w:type="paragraph" w:styleId="Textodeglobo">
    <w:name w:val="Balloon Text"/>
    <w:basedOn w:val="Normal"/>
    <w:link w:val="TextodegloboCar"/>
    <w:uiPriority w:val="99"/>
    <w:semiHidden/>
    <w:unhideWhenUsed/>
    <w:rsid w:val="00671A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71A39"/>
    <w:rPr>
      <w:rFonts w:ascii="Tahoma" w:eastAsia="Calibri" w:hAnsi="Tahoma" w:cs="Tahoma"/>
      <w:sz w:val="16"/>
      <w:szCs w:val="16"/>
    </w:rPr>
  </w:style>
  <w:style w:type="paragraph" w:styleId="Encabezado">
    <w:name w:val="header"/>
    <w:basedOn w:val="Normal"/>
    <w:link w:val="EncabezadoCar"/>
    <w:uiPriority w:val="99"/>
    <w:unhideWhenUsed/>
    <w:rsid w:val="00410349"/>
    <w:pPr>
      <w:tabs>
        <w:tab w:val="center" w:pos="4419"/>
        <w:tab w:val="right" w:pos="8838"/>
      </w:tabs>
    </w:pPr>
  </w:style>
  <w:style w:type="character" w:customStyle="1" w:styleId="EncabezadoCar">
    <w:name w:val="Encabezado Car"/>
    <w:link w:val="Encabezado"/>
    <w:uiPriority w:val="99"/>
    <w:rsid w:val="00410349"/>
    <w:rPr>
      <w:sz w:val="22"/>
      <w:szCs w:val="22"/>
      <w:lang w:eastAsia="en-US"/>
    </w:rPr>
  </w:style>
  <w:style w:type="paragraph" w:styleId="Piedepgina">
    <w:name w:val="footer"/>
    <w:basedOn w:val="Normal"/>
    <w:link w:val="PiedepginaCar"/>
    <w:uiPriority w:val="99"/>
    <w:unhideWhenUsed/>
    <w:rsid w:val="00410349"/>
    <w:pPr>
      <w:tabs>
        <w:tab w:val="center" w:pos="4419"/>
        <w:tab w:val="right" w:pos="8838"/>
      </w:tabs>
    </w:pPr>
  </w:style>
  <w:style w:type="character" w:customStyle="1" w:styleId="PiedepginaCar">
    <w:name w:val="Pie de página Car"/>
    <w:link w:val="Piedepgina"/>
    <w:uiPriority w:val="99"/>
    <w:rsid w:val="00410349"/>
    <w:rPr>
      <w:sz w:val="22"/>
      <w:szCs w:val="22"/>
      <w:lang w:eastAsia="en-US"/>
    </w:rPr>
  </w:style>
  <w:style w:type="character" w:styleId="Refdecomentario">
    <w:name w:val="annotation reference"/>
    <w:uiPriority w:val="99"/>
    <w:semiHidden/>
    <w:unhideWhenUsed/>
    <w:rsid w:val="00A43FA8"/>
    <w:rPr>
      <w:sz w:val="16"/>
      <w:szCs w:val="16"/>
    </w:rPr>
  </w:style>
  <w:style w:type="paragraph" w:styleId="Textocomentario">
    <w:name w:val="annotation text"/>
    <w:basedOn w:val="Normal"/>
    <w:link w:val="TextocomentarioCar"/>
    <w:uiPriority w:val="99"/>
    <w:semiHidden/>
    <w:unhideWhenUsed/>
    <w:rsid w:val="00A43FA8"/>
    <w:pPr>
      <w:spacing w:after="0" w:line="240" w:lineRule="auto"/>
    </w:pPr>
    <w:rPr>
      <w:rFonts w:ascii="Times New Roman" w:hAnsi="Times New Roman"/>
      <w:sz w:val="20"/>
      <w:szCs w:val="20"/>
      <w:lang w:eastAsia="es-CR"/>
    </w:rPr>
  </w:style>
  <w:style w:type="character" w:customStyle="1" w:styleId="TextocomentarioCar">
    <w:name w:val="Texto comentario Car"/>
    <w:link w:val="Textocomentario"/>
    <w:uiPriority w:val="99"/>
    <w:semiHidden/>
    <w:rsid w:val="00A43FA8"/>
    <w:rPr>
      <w:rFonts w:ascii="Times New Roman" w:hAnsi="Times New Roman"/>
    </w:rPr>
  </w:style>
  <w:style w:type="character" w:customStyle="1" w:styleId="SinespaciadoCar">
    <w:name w:val="Sin espaciado Car"/>
    <w:link w:val="Sinespaciado"/>
    <w:uiPriority w:val="1"/>
    <w:locked/>
    <w:rsid w:val="00A96542"/>
    <w:rPr>
      <w:sz w:val="22"/>
      <w:szCs w:val="22"/>
      <w:lang w:eastAsia="en-US"/>
    </w:rPr>
  </w:style>
  <w:style w:type="paragraph" w:styleId="Prrafodelista">
    <w:name w:val="List Paragraph"/>
    <w:aliases w:val="figuras y gráficos,Viñetas,Bulletr List Paragraph,3,Cuadros,titulo 5,Bolita,Guión,Viñeta 2,Párrafo de lista3,BOLA,Párrafo de lista21,Titulo 8,Párrafo de lista2,HOJA,Párrafo de lista31,BOLADEF,Párrafo de lista5,Colorful List - Accent 11"/>
    <w:basedOn w:val="Normal"/>
    <w:link w:val="PrrafodelistaCar"/>
    <w:uiPriority w:val="34"/>
    <w:qFormat/>
    <w:rsid w:val="00257907"/>
    <w:pPr>
      <w:spacing w:after="0" w:line="240" w:lineRule="auto"/>
      <w:ind w:left="720"/>
    </w:pPr>
    <w:rPr>
      <w:rFonts w:cs="Calibri"/>
    </w:rPr>
  </w:style>
  <w:style w:type="character" w:customStyle="1" w:styleId="PrrafodelistaCar">
    <w:name w:val="Párrafo de lista Car"/>
    <w:aliases w:val="figuras y gráficos Car,Viñetas Car,Bulletr List Paragraph Car,3 Car,Cuadros Car,titulo 5 Car,Bolita Car,Guión Car,Viñeta 2 Car,Párrafo de lista3 Car,BOLA Car,Párrafo de lista21 Car,Titulo 8 Car,Párrafo de lista2 Car,HOJA Car"/>
    <w:link w:val="Prrafodelista"/>
    <w:uiPriority w:val="34"/>
    <w:locked/>
    <w:rsid w:val="00257907"/>
    <w:rPr>
      <w:rFonts w:cs="Calibri"/>
      <w:sz w:val="22"/>
      <w:szCs w:val="22"/>
      <w:lang w:eastAsia="en-US"/>
    </w:rPr>
  </w:style>
  <w:style w:type="paragraph" w:customStyle="1" w:styleId="Default">
    <w:name w:val="Default"/>
    <w:rsid w:val="00257907"/>
    <w:pPr>
      <w:autoSpaceDE w:val="0"/>
      <w:autoSpaceDN w:val="0"/>
      <w:adjustRightInd w:val="0"/>
    </w:pPr>
    <w:rPr>
      <w:rFonts w:ascii="Arial" w:eastAsia="Times New Roman" w:hAnsi="Arial" w:cs="Arial"/>
      <w:color w:val="000000"/>
      <w:sz w:val="24"/>
      <w:szCs w:val="24"/>
    </w:rPr>
  </w:style>
  <w:style w:type="table" w:styleId="Tablaconcuadrcula1clara">
    <w:name w:val="Grid Table 1 Light"/>
    <w:basedOn w:val="Tablanormal"/>
    <w:uiPriority w:val="46"/>
    <w:rsid w:val="0025790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290DE0"/>
    <w:rPr>
      <w:color w:val="0563C1" w:themeColor="hyperlink"/>
      <w:u w:val="single"/>
    </w:rPr>
  </w:style>
  <w:style w:type="character" w:styleId="Mencinsinresolver">
    <w:name w:val="Unresolved Mention"/>
    <w:basedOn w:val="Fuentedeprrafopredeter"/>
    <w:uiPriority w:val="99"/>
    <w:semiHidden/>
    <w:unhideWhenUsed/>
    <w:rsid w:val="00290DE0"/>
    <w:rPr>
      <w:color w:val="605E5C"/>
      <w:shd w:val="clear" w:color="auto" w:fill="E1DFDD"/>
    </w:rPr>
  </w:style>
  <w:style w:type="character" w:styleId="Hipervnculovisitado">
    <w:name w:val="FollowedHyperlink"/>
    <w:basedOn w:val="Fuentedeprrafopredeter"/>
    <w:uiPriority w:val="99"/>
    <w:semiHidden/>
    <w:unhideWhenUsed/>
    <w:rsid w:val="00290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ado xmlns="7d349d9c-0b70-4ce8-abf3-6c9b56a2351c">En proceso</Estado>
    <Instituci_x00f3_n xmlns="7d349d9c-0b70-4ce8-abf3-6c9b56a2351c">BCCR</Instituci_x00f3_n>
    <Sesi_x00f3_n xmlns="7d349d9c-0b70-4ce8-abf3-6c9b56a2351c">5963</Sesi_x00f3_n>
    <A_x00f1_o xmlns="7d349d9c-0b70-4ce8-abf3-6c9b56a2351c">2020</A_x00f1_o>
    <Mes xmlns="7d349d9c-0b70-4ce8-abf3-6c9b56a2351c">10-Octubre</Me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omunicación Acuerdo BCCR" ma:contentTypeID="0x0101003B509F56B4205A43B9799F37A22038E800781505A41FAA6E4F82BD301071880D22" ma:contentTypeVersion="23" ma:contentTypeDescription="Plantilla para comunicar los acuerdos tomados por la JD del BCCR" ma:contentTypeScope="" ma:versionID="cd565c05287ab7f141ac18a0d2944b90">
  <xsd:schema xmlns:xsd="http://www.w3.org/2001/XMLSchema" xmlns:xs="http://www.w3.org/2001/XMLSchema" xmlns:p="http://schemas.microsoft.com/office/2006/metadata/properties" xmlns:ns2="7d349d9c-0b70-4ce8-abf3-6c9b56a2351c" targetNamespace="http://schemas.microsoft.com/office/2006/metadata/properties" ma:root="true" ma:fieldsID="705db8d99633ddf563858cf93940eeb2" ns2:_="">
    <xsd:import namespace="7d349d9c-0b70-4ce8-abf3-6c9b56a2351c"/>
    <xsd:element name="properties">
      <xsd:complexType>
        <xsd:sequence>
          <xsd:element name="documentManagement">
            <xsd:complexType>
              <xsd:all>
                <xsd:element ref="ns2:A_x00f1_o" minOccurs="0"/>
                <xsd:element ref="ns2:Estado" minOccurs="0"/>
                <xsd:element ref="ns2:Instituci_x00f3_n" minOccurs="0"/>
                <xsd:element ref="ns2:Mes" minOccurs="0"/>
                <xsd:element ref="ns2:Ses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49d9c-0b70-4ce8-abf3-6c9b56a2351c" elementFormDefault="qualified">
    <xsd:import namespace="http://schemas.microsoft.com/office/2006/documentManagement/types"/>
    <xsd:import namespace="http://schemas.microsoft.com/office/infopath/2007/PartnerControls"/>
    <xsd:element name="A_x00f1_o" ma:index="8" nillable="true" ma:displayName="Año" ma:format="Dropdown" ma:indexed="true"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Estado" ma:index="9" nillable="true" ma:displayName="Estado" ma:default="En proceso" ma:format="Dropdown" ma:internalName="Estado">
      <xsd:simpleType>
        <xsd:restriction base="dms:Choice">
          <xsd:enumeration value="En proceso"/>
          <xsd:enumeration value="Aprobado"/>
          <xsd:enumeration value="Comunicado"/>
        </xsd:restriction>
      </xsd:simpleType>
    </xsd:element>
    <xsd:element name="Instituci_x00f3_n" ma:index="10" nillable="true" ma:displayName="Origen" ma:format="Dropdown" ma:indexed="true" ma:internalName="Instituci_x00f3_n">
      <xsd:simpleType>
        <xsd:restriction base="dms:Choice">
          <xsd:enumeration value="BCCR"/>
          <xsd:enumeration value="Conassif"/>
          <xsd:enumeration value="Comité de Auditoría"/>
          <xsd:enumeration value="Presidencia / Gerencia"/>
          <xsd:enumeration value="Rpost"/>
          <xsd:enumeration value="CONIP"/>
          <xsd:enumeration value="Comité de Riesgos"/>
          <xsd:enumeration value="Comisión Estabilidad Financiera"/>
          <xsd:enumeration value="Seguimiento"/>
        </xsd:restriction>
      </xsd:simpleType>
    </xsd:element>
    <xsd:element name="Mes" ma:index="11" nillable="true" ma:displayName="Mes" ma:format="Dropdown" ma:internalName="Mes">
      <xsd:simpleType>
        <xsd:restriction base="dms:Choice">
          <xsd:enumeration value="01-Enero"/>
          <xsd:enumeration value="02-Febrero"/>
          <xsd:enumeration value="03-Marzo"/>
          <xsd:enumeration value="04-Abril"/>
          <xsd:enumeration value="05-Mayo"/>
          <xsd:enumeration value="06-Junio"/>
          <xsd:enumeration value="07-Julio"/>
          <xsd:enumeration value="08-Agosto"/>
          <xsd:enumeration value="09-Setiembre"/>
          <xsd:enumeration value="10-Octubre"/>
          <xsd:enumeration value="11-Noviembre"/>
          <xsd:enumeration value="12-Diciembre"/>
        </xsd:restriction>
      </xsd:simpleType>
    </xsd:element>
    <xsd:element name="Sesi_x00f3_n" ma:index="12" nillable="true" ma:displayName="Sesión" ma:indexed="true" ma:internalName="Sesi_x00f3_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8BBD-C28A-43EF-B5B3-EECF55432FAF}">
  <ds:schemaRefs>
    <ds:schemaRef ds:uri="http://schemas.microsoft.com/sharepoint/v3/contenttype/forms"/>
  </ds:schemaRefs>
</ds:datastoreItem>
</file>

<file path=customXml/itemProps2.xml><?xml version="1.0" encoding="utf-8"?>
<ds:datastoreItem xmlns:ds="http://schemas.openxmlformats.org/officeDocument/2006/customXml" ds:itemID="{EE075A29-1A98-41C9-A360-C4D18C99089A}">
  <ds:schemaRefs>
    <ds:schemaRef ds:uri="http://schemas.microsoft.com/office/2006/metadata/properties"/>
    <ds:schemaRef ds:uri="http://purl.org/dc/dcmitype/"/>
    <ds:schemaRef ds:uri="7d349d9c-0b70-4ce8-abf3-6c9b56a2351c"/>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1F05BE1C-356F-408B-9AFB-445FDB5B5F1D}">
  <ds:schemaRefs>
    <ds:schemaRef ds:uri="http://schemas.microsoft.com/office/2006/metadata/longProperties"/>
  </ds:schemaRefs>
</ds:datastoreItem>
</file>

<file path=customXml/itemProps4.xml><?xml version="1.0" encoding="utf-8"?>
<ds:datastoreItem xmlns:ds="http://schemas.openxmlformats.org/officeDocument/2006/customXml" ds:itemID="{59102354-B5D6-46D0-9757-8D811832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49d9c-0b70-4ce8-abf3-6c9b56a23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F09B93-A6DB-4C0C-8C90-E49EDB62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5963-08 RCB</vt:lpstr>
    </vt:vector>
  </TitlesOfParts>
  <Company>BCCR</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5963-08 RCB</dc:title>
  <dc:subject/>
  <dc:creator>HERNANDEZ MORA DAYANA</dc:creator>
  <cp:keywords/>
  <cp:lastModifiedBy>JIMENEZ GONZALEZ ROBERT ALEXANDER</cp:lastModifiedBy>
  <cp:revision>3</cp:revision>
  <cp:lastPrinted>2013-05-13T16:42:00Z</cp:lastPrinted>
  <dcterms:created xsi:type="dcterms:W3CDTF">2020-12-09T20:12:00Z</dcterms:created>
  <dcterms:modified xsi:type="dcterms:W3CDTF">2020-12-11T16:36:00Z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0x0101003B509F56B4205A43B9799F37A22038E800781505A41FAA6E4F82BD301071880D22</vt:lpwstr>
  </property>
  <property fmtid="{D5CDD505-2E9C-101B-9397-08002B2CF9AE}" pid="3" name="Estado">
    <vt:lpwstr>En proceso</vt:lpwstr>
  </property>
  <property fmtid="{D5CDD505-2E9C-101B-9397-08002B2CF9AE}" pid="4" name="Institución">
    <vt:lpwstr/>
  </property>
  <property fmtid="{D5CDD505-2E9C-101B-9397-08002B2CF9AE}" pid="5" name="Sesión">
    <vt:lpwstr/>
  </property>
  <property fmtid="{D5CDD505-2E9C-101B-9397-08002B2CF9AE}" pid="6" name="Año">
    <vt:lpwstr/>
  </property>
  <property fmtid="{D5CDD505-2E9C-101B-9397-08002B2CF9AE}" pid="7" name="Mes">
    <vt:lpwstr/>
  </property>
</Properties>
</file>